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t>specyfikacja warunków zamówieniA</w:t>
      </w:r>
    </w:p>
    <w:p>
      <w:pPr>
        <w:pStyle w:val="Normal"/>
        <w:spacing w:before="0" w:after="0"/>
        <w:jc w:val="center"/>
        <w:rPr/>
      </w:pPr>
      <w:r>
        <w:rPr>
          <w:rFonts w:eastAsia="Times New Roman" w:cs="Arial" w:ascii="Arial" w:hAnsi="Arial"/>
          <w:sz w:val="28"/>
          <w:szCs w:val="28"/>
          <w:lang w:eastAsia="pl-PL"/>
        </w:rPr>
        <w:t xml:space="preserve">na zadanie: </w:t>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pBdr>
          <w:top w:val="single" w:sz="4" w:space="1" w:color="00000A"/>
          <w:left w:val="single" w:sz="4" w:space="4" w:color="00000A"/>
          <w:bottom w:val="single" w:sz="4" w:space="1" w:color="00000A"/>
          <w:right w:val="single" w:sz="4" w:space="4" w:color="00000A"/>
        </w:pBdr>
        <w:spacing w:before="0" w:after="0"/>
        <w:ind w:right="-13" w:hanging="0"/>
        <w:jc w:val="center"/>
        <w:rPr/>
      </w:pPr>
      <w:r>
        <w:rPr>
          <w:rFonts w:eastAsia="Times New Roman" w:cs="Arial" w:ascii="Arial" w:hAnsi="Arial"/>
          <w:b/>
          <w:sz w:val="28"/>
          <w:szCs w:val="28"/>
          <w:lang w:eastAsia="pl-PL"/>
        </w:rPr>
        <w:t xml:space="preserve">„ </w:t>
      </w:r>
      <w:r>
        <w:rPr>
          <w:rFonts w:eastAsia="Times New Roman" w:cs="Arial" w:ascii="Arial" w:hAnsi="Arial"/>
          <w:b/>
          <w:sz w:val="28"/>
          <w:szCs w:val="28"/>
          <w:lang w:eastAsia="pl-PL"/>
        </w:rPr>
        <w:t xml:space="preserve">WYKONYWANIE SPECJALISTYCZNYCH USŁUG OPIEKUŃCZYCH DLA OSÓB Z ZABURZENIAMI PSYCHICZNYMI W MIEJSCU  ICH ZAMIESZKANIA NA TERENIE  </w:t>
      </w:r>
      <w:r>
        <w:rPr>
          <w:rFonts w:eastAsia="Times New Roman" w:cs="Arial" w:ascii="Arial" w:hAnsi="Arial"/>
          <w:b/>
          <w:sz w:val="28"/>
          <w:szCs w:val="28"/>
          <w:lang w:eastAsia="pl-PL"/>
        </w:rPr>
        <w:t xml:space="preserve">GMINY </w:t>
      </w:r>
      <w:r>
        <w:rPr>
          <w:rFonts w:eastAsia="Times New Roman" w:cs="Arial" w:ascii="Arial" w:hAnsi="Arial"/>
          <w:b/>
          <w:sz w:val="28"/>
          <w:szCs w:val="28"/>
          <w:lang w:eastAsia="pl-PL"/>
        </w:rPr>
        <w:t>MIASTA GOSTYNINA OD 01.01.2022R. DO 31.12.2022R."</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t>TRYB UDZIELENIA ZAMÓWIENIA</w:t>
      </w:r>
      <w:r>
        <w:rPr>
          <w:rFonts w:eastAsia="Times New Roman" w:cs="Arial" w:ascii="Arial" w:hAnsi="Arial"/>
          <w:b/>
          <w:bCs/>
          <w:color w:val="000000"/>
          <w:lang w:eastAsia="pl-PL"/>
        </w:rPr>
        <w:t xml:space="preserve">: </w:t>
      </w:r>
      <w:r>
        <w:rPr>
          <w:rFonts w:eastAsia="Times New Roman" w:cs="Arial" w:ascii="Arial" w:hAnsi="Arial"/>
          <w:color w:val="000000"/>
          <w:lang w:eastAsia="pl-PL"/>
        </w:rPr>
        <w:t>Podstawowy bez negocjacji art. 275 ust. 1 PZP</w:t>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pPr>
      <w:r>
        <w:rPr>
          <w:rFonts w:eastAsia="Times New Roman" w:cs="Arial" w:ascii="Arial" w:hAnsi="Arial"/>
          <w:color w:val="000000"/>
          <w:lang w:eastAsia="pl-PL"/>
        </w:rPr>
        <w:t>Podstawa prawna: Ustawa z dnia 11.09.2019r. - Prawo Zamówień Publicznych (Dz.U. z 2021 r. poz. 1129 z późn.zm.)</w:t>
      </w:r>
    </w:p>
    <w:p>
      <w:pPr>
        <w:pStyle w:val="Normal"/>
        <w:tabs>
          <w:tab w:val="center" w:pos="3793" w:leader="none"/>
        </w:tabs>
        <w:spacing w:before="0" w:after="0"/>
        <w:ind w:right="-13" w:hanging="0"/>
        <w:rPr>
          <w:rFonts w:ascii="Arial" w:hAnsi="Arial" w:eastAsia="Times New Roman" w:cs="Arial"/>
          <w:b/>
          <w:b/>
          <w:spacing w:val="-3"/>
          <w:lang w:eastAsia="pl-PL"/>
        </w:rPr>
      </w:pPr>
      <w:r>
        <w:rPr>
          <w:rFonts w:eastAsia="Times New Roman" w:cs="Arial" w:ascii="Arial" w:hAnsi="Arial"/>
          <w:b/>
          <w:spacing w:val="-3"/>
          <w:lang w:eastAsia="pl-PL"/>
        </w:rPr>
      </w:r>
    </w:p>
    <w:p>
      <w:pPr>
        <w:pStyle w:val="Normal"/>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jc w:val="center"/>
        <w:rPr/>
      </w:pPr>
      <w:r>
        <w:rPr>
          <w:rFonts w:eastAsia="Times New Roman" w:cs="Arial" w:ascii="Arial" w:hAnsi="Arial"/>
          <w:b/>
          <w:bCs/>
          <w:color w:val="000000"/>
          <w:lang w:eastAsia="pl-PL"/>
        </w:rPr>
        <w:t xml:space="preserve">Przedmiotowe postępowanie prowadzone jest przy użyciu środków komunikacji elektronicznej. Składanie ofert następuje przy użyciu miniPortalu </w:t>
      </w:r>
      <w:hyperlink r:id="rId2">
        <w:r>
          <w:rPr>
            <w:rStyle w:val="Czeinternetowe"/>
            <w:rFonts w:eastAsia="Times New Roman" w:cs="Arial" w:ascii="Arial" w:hAnsi="Arial"/>
            <w:b/>
            <w:bCs/>
            <w:color w:val="0000FF" w:themeColor="hyperlink"/>
            <w:u w:val="single"/>
            <w:lang w:eastAsia="pl-PL"/>
          </w:rPr>
          <w:t>https://miniportal.uzp.gov.pl/</w:t>
        </w:r>
      </w:hyperlink>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pPr>
      <w:r>
        <w:rPr>
          <w:rFonts w:eastAsia="Times New Roman" w:cs="Arial" w:ascii="Arial" w:hAnsi="Arial"/>
          <w:lang w:eastAsia="pl-PL"/>
        </w:rPr>
        <w:t xml:space="preserve">Nr postępowania: </w:t>
      </w:r>
      <w:r>
        <w:rPr>
          <w:rFonts w:eastAsia="Times New Roman" w:cs="Arial" w:ascii="Arial" w:hAnsi="Arial"/>
          <w:b/>
          <w:bCs/>
          <w:lang w:eastAsia="pl-PL"/>
        </w:rPr>
        <w:t>MOPS-2000/4/2021</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tab/>
        <w:tab/>
        <w:tab/>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tab/>
        <w:t xml:space="preserve">ZATWIERDZAM DNIA: </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pPr>
      <w:r>
        <w:rPr>
          <w:rFonts w:eastAsia="Times New Roman" w:cs="Arial" w:ascii="Arial" w:hAnsi="Arial"/>
          <w:b/>
          <w:caps/>
          <w:lang w:eastAsia="pl-PL"/>
        </w:rPr>
        <w:t>I. zAMAWIAJĄCY:</w:t>
      </w:r>
    </w:p>
    <w:p>
      <w:pPr>
        <w:pStyle w:val="NoSpacing"/>
        <w:spacing w:lineRule="auto" w:line="240"/>
        <w:jc w:val="both"/>
        <w:rPr/>
      </w:pPr>
      <w:r>
        <w:rPr>
          <w:rFonts w:cs="Times New Roman" w:ascii="Arial" w:hAnsi="Arial"/>
          <w:b/>
          <w:bCs/>
          <w:sz w:val="22"/>
          <w:szCs w:val="22"/>
          <w:lang w:eastAsia="pl-PL"/>
        </w:rPr>
        <w:t>Miejski Ośrodek Pomocy Społecznej w Gostyninie</w:t>
      </w:r>
    </w:p>
    <w:p>
      <w:pPr>
        <w:pStyle w:val="NoSpacing"/>
        <w:spacing w:lineRule="auto" w:line="240"/>
        <w:jc w:val="both"/>
        <w:rPr/>
      </w:pPr>
      <w:r>
        <w:rPr>
          <w:rFonts w:cs="Times New Roman" w:ascii="Arial" w:hAnsi="Arial"/>
          <w:b/>
          <w:bCs/>
          <w:sz w:val="22"/>
          <w:szCs w:val="22"/>
          <w:lang w:eastAsia="pl-PL"/>
        </w:rPr>
        <w:t>ul. Parkowa 22, 09-500 Gostynin</w:t>
      </w:r>
    </w:p>
    <w:p>
      <w:pPr>
        <w:pStyle w:val="NoSpacing"/>
        <w:spacing w:lineRule="auto" w:line="240"/>
        <w:jc w:val="both"/>
        <w:rPr/>
      </w:pPr>
      <w:r>
        <w:rPr>
          <w:rFonts w:cs="Times New Roman" w:ascii="Arial" w:hAnsi="Arial"/>
          <w:sz w:val="22"/>
          <w:szCs w:val="22"/>
          <w:lang w:eastAsia="pl-PL"/>
        </w:rPr>
        <w:t>Regon: 004730304</w:t>
      </w:r>
    </w:p>
    <w:p>
      <w:pPr>
        <w:pStyle w:val="NoSpacing"/>
        <w:spacing w:lineRule="auto" w:line="240"/>
        <w:jc w:val="both"/>
        <w:rPr/>
      </w:pPr>
      <w:r>
        <w:rPr>
          <w:rFonts w:cs="Times New Roman" w:ascii="Arial" w:hAnsi="Arial"/>
          <w:sz w:val="22"/>
          <w:szCs w:val="22"/>
          <w:lang w:eastAsia="pl-PL"/>
        </w:rPr>
        <w:t>NIP: 971-00-72-657</w:t>
      </w:r>
    </w:p>
    <w:p>
      <w:pPr>
        <w:pStyle w:val="NoSpacing"/>
        <w:spacing w:lineRule="auto" w:line="240"/>
        <w:jc w:val="both"/>
        <w:rPr/>
      </w:pPr>
      <w:r>
        <w:rPr>
          <w:rFonts w:cs="Calibri" w:ascii="Arial" w:hAnsi="Arial" w:cstheme="minorHAnsi"/>
          <w:sz w:val="22"/>
          <w:szCs w:val="22"/>
        </w:rPr>
        <w:t>tel. (24) 236 13 60, fax (24) 236 13 64</w:t>
      </w:r>
    </w:p>
    <w:p>
      <w:pPr>
        <w:pStyle w:val="NoSpacing"/>
        <w:spacing w:lineRule="auto" w:line="240"/>
        <w:jc w:val="both"/>
        <w:rPr/>
      </w:pPr>
      <w:r>
        <w:rPr>
          <w:rFonts w:cs="Times New Roman" w:ascii="Arial" w:hAnsi="Arial"/>
          <w:sz w:val="22"/>
          <w:szCs w:val="22"/>
          <w:lang w:eastAsia="pl-PL"/>
        </w:rPr>
        <w:t>Godziny pracy: poniedziałek - piątek 7:30-15:30</w:t>
      </w:r>
    </w:p>
    <w:p>
      <w:pPr>
        <w:pStyle w:val="NoSpacing"/>
        <w:spacing w:lineRule="auto" w:line="240"/>
        <w:jc w:val="both"/>
        <w:rPr/>
      </w:pPr>
      <w:r>
        <w:rPr>
          <w:rFonts w:cs="Times New Roman" w:ascii="Arial" w:hAnsi="Arial"/>
          <w:sz w:val="22"/>
          <w:szCs w:val="22"/>
          <w:lang w:eastAsia="pl-PL"/>
        </w:rPr>
        <w:t>Adres poczty elektronicznej: sekretariat@mopsgostynin.pl</w:t>
      </w:r>
    </w:p>
    <w:p>
      <w:pPr>
        <w:pStyle w:val="NoSpacing"/>
        <w:spacing w:lineRule="auto" w:line="240"/>
        <w:jc w:val="both"/>
        <w:rPr/>
      </w:pPr>
      <w:r>
        <w:rPr>
          <w:rFonts w:cs="Times New Roman" w:ascii="Arial" w:hAnsi="Arial"/>
          <w:sz w:val="22"/>
          <w:szCs w:val="22"/>
          <w:lang w:eastAsia="pl-PL"/>
        </w:rPr>
        <w:t>Adres strony internetowej prowadzonego postępowania, na której udostępniane będą zmiany i wyjaśnienia treści SWZ oraz inne dokumenty zamówienia bezpośrednio związane z postępowaniem o udzielenie zamówienia: http://umgostynin.bip.org.pl/id/640</w:t>
      </w:r>
    </w:p>
    <w:p>
      <w:pPr>
        <w:pStyle w:val="NoSpacing"/>
        <w:spacing w:lineRule="auto" w:line="240"/>
        <w:jc w:val="both"/>
        <w:rPr/>
      </w:pPr>
      <w:r>
        <w:rPr>
          <w:rFonts w:cs="Times New Roman" w:ascii="Arial" w:hAnsi="Arial"/>
          <w:sz w:val="22"/>
          <w:szCs w:val="22"/>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240"/>
        <w:jc w:val="both"/>
        <w:rPr/>
      </w:pPr>
      <w:r>
        <w:rPr>
          <w:rFonts w:cs="Arial" w:ascii="Arial" w:hAnsi="Arial"/>
          <w:b/>
          <w:bCs/>
          <w:sz w:val="22"/>
          <w:szCs w:val="22"/>
          <w:lang w:eastAsia="pl-PL"/>
        </w:rPr>
        <w:t xml:space="preserve">Adres platformy zakupowej: </w:t>
        <w:tab/>
        <w:t>https://miniportal.uzp.gov.pl/</w:t>
      </w:r>
    </w:p>
    <w:p>
      <w:pPr>
        <w:pStyle w:val="ListParagraph"/>
        <w:spacing w:lineRule="auto" w:line="240"/>
        <w:ind w:left="0" w:hanging="0"/>
        <w:rPr/>
      </w:pPr>
      <w:r>
        <w:rPr>
          <w:rFonts w:cs="Arial"/>
          <w:b/>
          <w:bCs/>
          <w:sz w:val="22"/>
          <w:szCs w:val="22"/>
        </w:rPr>
        <w:t xml:space="preserve">Adres skrzynki (ESP) na ePUAP: </w:t>
        <w:tab/>
      </w:r>
      <w:bookmarkStart w:id="0" w:name="__DdeLink__8801_1282295894"/>
      <w:bookmarkEnd w:id="0"/>
      <w:r>
        <w:rPr>
          <w:rFonts w:cs="Arial"/>
          <w:b/>
          <w:bCs/>
          <w:sz w:val="22"/>
          <w:szCs w:val="22"/>
        </w:rPr>
        <w:t>/1ubt30w0k5/skrytka</w:t>
      </w:r>
    </w:p>
    <w:p>
      <w:pPr>
        <w:pStyle w:val="ListParagraph"/>
        <w:spacing w:lineRule="auto" w:line="240"/>
        <w:ind w:left="0" w:hanging="0"/>
        <w:jc w:val="both"/>
        <w:rPr/>
      </w:pPr>
      <w:r>
        <w:rPr>
          <w:rFonts w:cs="Times New Roman"/>
          <w:b/>
          <w:color w:val="00000A"/>
          <w:sz w:val="22"/>
          <w:szCs w:val="22"/>
        </w:rPr>
        <w:t xml:space="preserve">Nazwa odbiorcy dla ESP: </w:t>
      </w:r>
      <w:r>
        <w:rPr>
          <w:rFonts w:cs="Times New Roman"/>
          <w:b/>
          <w:bCs/>
          <w:color w:val="00000A"/>
          <w:sz w:val="22"/>
          <w:szCs w:val="22"/>
        </w:rPr>
        <w:t>MIEJSKI OŚRODEK POMOCY SPOŁECZNEJ W GOSTYNINIE</w:t>
      </w:r>
    </w:p>
    <w:p>
      <w:pPr>
        <w:pStyle w:val="Normal"/>
        <w:spacing w:before="0" w:after="0"/>
        <w:jc w:val="center"/>
        <w:rPr/>
      </w:pPr>
      <w:r>
        <w:rPr/>
      </w:r>
    </w:p>
    <w:p>
      <w:pPr>
        <w:pStyle w:val="Normal"/>
        <w:tabs>
          <w:tab w:val="left" w:pos="540" w:leader="none"/>
        </w:tabs>
        <w:spacing w:before="0" w:after="0"/>
        <w:ind w:left="720" w:hanging="0"/>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rPr>
          <w:rFonts w:ascii="Arial" w:hAnsi="Arial" w:eastAsia="Times New Roman" w:cs="Arial"/>
          <w:b/>
          <w:b/>
          <w:lang w:eastAsia="pl-PL"/>
        </w:rPr>
      </w:pPr>
      <w:r>
        <w:rPr>
          <w:rFonts w:eastAsia="Times New Roman" w:cs="Arial" w:ascii="Arial" w:hAnsi="Arial"/>
          <w:b/>
          <w:lang w:eastAsia="pl-PL"/>
        </w:rPr>
        <w:t xml:space="preserve">II.OCHRONA DANYCH OSOBOWYCH </w:t>
      </w:r>
    </w:p>
    <w:p>
      <w:pPr>
        <w:pStyle w:val="Normal"/>
        <w:numPr>
          <w:ilvl w:val="0"/>
          <w:numId w:val="28"/>
        </w:numPr>
        <w:spacing w:before="0" w:after="0"/>
        <w:ind w:left="644" w:right="-13" w:hanging="360"/>
        <w:jc w:val="both"/>
        <w:rPr/>
      </w:pPr>
      <w:r>
        <w:rPr>
          <w:rFonts w:cs="Arial" w:ascii="Arial" w:hAnsi="Arial"/>
          <w:color w:val="000000"/>
        </w:rPr>
        <w:t>Administratorem Pani/Pana danych osobowych jest Miejski Ośrodek Pomocy Społecznej w Gostyninie reprezentowany przez Kierownika Miejskiego Ośrodka Pomocy Społecznej w Gostyninie.</w:t>
      </w:r>
    </w:p>
    <w:p>
      <w:pPr>
        <w:pStyle w:val="Normal"/>
        <w:numPr>
          <w:ilvl w:val="0"/>
          <w:numId w:val="28"/>
        </w:numPr>
        <w:spacing w:before="0" w:after="0"/>
        <w:ind w:left="644" w:right="-13" w:hanging="360"/>
        <w:jc w:val="both"/>
        <w:rPr/>
      </w:pPr>
      <w:r>
        <w:rPr>
          <w:rFonts w:cs="Arial" w:ascii="Arial" w:hAnsi="Arial"/>
          <w:color w:val="000000"/>
        </w:rPr>
        <w:t>Dane kontaktowe Inspektora ochrony danych: odo@mopsgostynin.pl.</w:t>
      </w:r>
    </w:p>
    <w:p>
      <w:pPr>
        <w:pStyle w:val="Normal"/>
        <w:numPr>
          <w:ilvl w:val="0"/>
          <w:numId w:val="28"/>
        </w:numPr>
        <w:spacing w:before="0" w:after="0"/>
        <w:jc w:val="both"/>
        <w:rPr/>
      </w:pPr>
      <w:r>
        <w:rPr>
          <w:rFonts w:cs="Arial" w:ascii="Arial" w:hAnsi="Arial"/>
          <w:color w:val="000000"/>
        </w:rPr>
        <w:t xml:space="preserve">Pani/Pana dane osobowe przetwarzane będą na podstawie art. 6 ust. 1 lit. c RODO w celu związanym z postępowaniem o udzielenie zamówienia publicznego na zadanie </w:t>
      </w:r>
      <w:r>
        <w:rPr>
          <w:rFonts w:cs="Arial" w:ascii="Arial" w:hAnsi="Arial"/>
          <w:b w:val="false"/>
          <w:bCs w:val="false"/>
          <w:color w:val="000000"/>
          <w:sz w:val="22"/>
          <w:szCs w:val="22"/>
        </w:rPr>
        <w:t>„</w:t>
      </w:r>
      <w:r>
        <w:rPr>
          <w:rFonts w:eastAsia="Times New Roman" w:cs="Arial" w:ascii="Arial" w:hAnsi="Arial"/>
          <w:b w:val="false"/>
          <w:bCs w:val="false"/>
          <w:color w:val="000000"/>
          <w:sz w:val="22"/>
          <w:szCs w:val="22"/>
          <w:lang w:eastAsia="pl-PL"/>
        </w:rPr>
        <w:t xml:space="preserve">WYKONYWANIE SPECJALISTYCZNYCH USŁUG OPIEKUŃCZYCH DLA OSÓB Z ZABURZENIAMI PSYCHICZNYMI W MIEJSCU  ICH ZAMIESZKANIA NA TERENIE </w:t>
      </w:r>
      <w:r>
        <w:rPr>
          <w:rFonts w:eastAsia="Times New Roman" w:cs="Arial" w:ascii="Arial" w:hAnsi="Arial"/>
          <w:b w:val="false"/>
          <w:bCs w:val="false"/>
          <w:color w:val="000000"/>
          <w:sz w:val="22"/>
          <w:szCs w:val="22"/>
          <w:lang w:eastAsia="pl-PL"/>
        </w:rPr>
        <w:t xml:space="preserve">GMINY </w:t>
      </w:r>
      <w:r>
        <w:rPr>
          <w:rFonts w:eastAsia="Times New Roman" w:cs="Arial" w:ascii="Arial" w:hAnsi="Arial"/>
          <w:b w:val="false"/>
          <w:bCs w:val="false"/>
          <w:color w:val="000000"/>
          <w:sz w:val="22"/>
          <w:szCs w:val="22"/>
          <w:lang w:eastAsia="pl-PL"/>
        </w:rPr>
        <w:t>MIASTA GOSTYNINA OD 01.01.2022R. DO 31.12.2022R."</w:t>
      </w:r>
      <w:r>
        <w:rPr>
          <w:rFonts w:cs="Arial" w:ascii="Arial" w:hAnsi="Arial"/>
          <w:b/>
          <w:bCs/>
          <w:color w:val="000000"/>
          <w:sz w:val="22"/>
          <w:szCs w:val="22"/>
        </w:rPr>
        <w:t xml:space="preserve"> </w:t>
      </w:r>
      <w:r>
        <w:rPr>
          <w:rFonts w:cs="Arial" w:ascii="Arial" w:hAnsi="Arial"/>
          <w:color w:val="000000"/>
        </w:rPr>
        <w:t xml:space="preserve"> w związku z Ustawą z dnia 11 września 2019 r. Prawo zamówień publicznych (zwaną dalej Ustawą). </w:t>
      </w:r>
    </w:p>
    <w:p>
      <w:pPr>
        <w:pStyle w:val="Normal"/>
        <w:numPr>
          <w:ilvl w:val="0"/>
          <w:numId w:val="28"/>
        </w:numPr>
        <w:spacing w:before="0" w:after="0"/>
        <w:ind w:left="644" w:right="-13" w:hanging="360"/>
        <w:jc w:val="both"/>
        <w:rPr/>
      </w:pPr>
      <w:r>
        <w:rPr>
          <w:rFonts w:cs="Arial" w:ascii="Arial" w:hAnsi="Arial"/>
          <w:color w:val="000000"/>
        </w:rPr>
        <w:t xml:space="preserve">Odbiorcami Pani/Pana danych osobowych będą osoby lub podmioty, którym udostępniona zostanie dokumentacja postępowania w oparciu o jawność postępowania (między innymi art. 18, art. 74, art. 252 art. 260 Ustawy). </w:t>
      </w:r>
    </w:p>
    <w:p>
      <w:pPr>
        <w:pStyle w:val="Normal"/>
        <w:numPr>
          <w:ilvl w:val="0"/>
          <w:numId w:val="28"/>
        </w:numPr>
        <w:spacing w:before="0" w:after="0"/>
        <w:ind w:left="644" w:right="-13" w:hanging="360"/>
        <w:jc w:val="both"/>
        <w:rPr/>
      </w:pPr>
      <w:r>
        <w:rPr>
          <w:rFonts w:cs="Arial" w:ascii="Arial" w:hAnsi="Arial"/>
          <w:color w:val="000000"/>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pPr>
        <w:pStyle w:val="Normal"/>
        <w:numPr>
          <w:ilvl w:val="0"/>
          <w:numId w:val="28"/>
        </w:numPr>
        <w:spacing w:before="0" w:after="0"/>
        <w:ind w:left="644" w:right="-13" w:hanging="360"/>
        <w:jc w:val="both"/>
        <w:rPr/>
      </w:pPr>
      <w:r>
        <w:rPr>
          <w:rFonts w:cs="Arial" w:ascii="Arial" w:hAnsi="Arial"/>
          <w:color w:val="000000"/>
        </w:rPr>
        <w:t>Obowiązek podania przez Panią/Pana danych osobowych jest wymogiem ustawowym określonym w przepisanych Ustawy związanym z udziałem w postępowaniu o udzielenie zamówienia publicznego.</w:t>
      </w:r>
    </w:p>
    <w:p>
      <w:pPr>
        <w:pStyle w:val="Normal"/>
        <w:spacing w:before="0" w:after="0"/>
        <w:ind w:left="284" w:right="-13" w:hanging="0"/>
        <w:jc w:val="both"/>
        <w:rPr/>
      </w:pPr>
      <w:r>
        <w:rPr>
          <w:rFonts w:cs="Arial" w:ascii="Arial" w:hAnsi="Arial"/>
          <w:color w:val="000000"/>
        </w:rPr>
        <w:t>7. Przysługują Pani/Panu następujące prawa związane z przetwarzaniem danych osobowych:</w:t>
      </w:r>
    </w:p>
    <w:p>
      <w:pPr>
        <w:pStyle w:val="Normal"/>
        <w:numPr>
          <w:ilvl w:val="1"/>
          <w:numId w:val="30"/>
        </w:numPr>
        <w:spacing w:before="0" w:after="0"/>
        <w:ind w:left="782" w:right="-11" w:hanging="357"/>
        <w:jc w:val="both"/>
        <w:rPr/>
      </w:pPr>
      <w:r>
        <w:rPr>
          <w:rFonts w:cs="Arial" w:ascii="Arial" w:hAnsi="Arial"/>
          <w:color w:val="000000"/>
        </w:rPr>
        <w:t>prawo dostępu do Pani/Pana danych osobowych;</w:t>
      </w:r>
    </w:p>
    <w:p>
      <w:pPr>
        <w:pStyle w:val="Normal"/>
        <w:numPr>
          <w:ilvl w:val="1"/>
          <w:numId w:val="30"/>
        </w:numPr>
        <w:spacing w:before="0" w:after="0"/>
        <w:ind w:left="782" w:right="-11" w:hanging="357"/>
        <w:jc w:val="both"/>
        <w:rPr/>
      </w:pPr>
      <w:r>
        <w:rPr>
          <w:rFonts w:cs="Arial" w:ascii="Arial" w:hAnsi="Arial"/>
          <w:color w:val="000000"/>
        </w:rPr>
        <w:t>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pPr>
        <w:pStyle w:val="Normal"/>
        <w:numPr>
          <w:ilvl w:val="1"/>
          <w:numId w:val="30"/>
        </w:numPr>
        <w:spacing w:before="0" w:after="0"/>
        <w:ind w:left="782" w:right="-11" w:hanging="357"/>
        <w:jc w:val="both"/>
        <w:rPr/>
      </w:pPr>
      <w:r>
        <w:rPr>
          <w:rFonts w:cs="Arial" w:ascii="Arial" w:hAnsi="Arial"/>
          <w:color w:val="000000"/>
        </w:rPr>
        <w:t>prawo żądania usunięcia Pani/Pana danych osobowych, w sytuacji, gdy przetwarzanie danych nie następuje w celu wywiązania się z obowiązku wynikającego z przepisu prawa lub w ramach sprawowania władzy publicznej;</w:t>
      </w:r>
    </w:p>
    <w:p>
      <w:pPr>
        <w:pStyle w:val="Normal"/>
        <w:numPr>
          <w:ilvl w:val="1"/>
          <w:numId w:val="30"/>
        </w:numPr>
        <w:spacing w:before="0" w:after="0"/>
        <w:ind w:left="782" w:right="-11" w:hanging="357"/>
        <w:jc w:val="both"/>
        <w:rPr/>
      </w:pPr>
      <w:r>
        <w:rPr>
          <w:rFonts w:cs="Arial" w:ascii="Arial" w:hAnsi="Arial"/>
          <w:color w:val="000000"/>
        </w:rPr>
        <w:t>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pPr>
        <w:pStyle w:val="Normal"/>
        <w:spacing w:before="0" w:after="0"/>
        <w:ind w:left="284" w:right="-13" w:hanging="0"/>
        <w:jc w:val="both"/>
        <w:rPr/>
      </w:pPr>
      <w:r>
        <w:rPr>
          <w:rFonts w:cs="Arial" w:ascii="Arial" w:hAnsi="Arial"/>
          <w:color w:val="000000"/>
        </w:rPr>
        <w:t>W celu skorzystania z wskazanych wyżej praw może Pani/Pan zgłosić się do Miejskiego Ośrodka Pomocy Społecznej w Gostyninie lub przesłać wniosek na adres ul. Parkowa 22, 09-500 Gostynin,listownie lub drogą elektroniczną: ul. Parkowa 22, 09-500 Gostynin. Tutejszy organ – Administrator danych osobowych - bez zbędnej zwłoki – a w każdym razie w terminie miesiąca od dnia wpłynięcia wniosku – udziela osobie, której dane dotyczą, informacji o działaniach podjętych w związku z realizacją ww. praw. w razie potrzeby termin ten może zostać przedłużony o kolejne dwa miesiące z uwagi na skomplikowany charakter żądania lub liczbę żądań. W terminie miesiąca od otrzymania żądania informuje osobę, której dane dotyczą o takim przedłużeniu terminu, z podaniem przyczyn opóźnienia.</w:t>
      </w:r>
    </w:p>
    <w:p>
      <w:pPr>
        <w:pStyle w:val="Normal"/>
        <w:numPr>
          <w:ilvl w:val="0"/>
          <w:numId w:val="29"/>
        </w:numPr>
        <w:spacing w:before="0" w:after="0"/>
        <w:ind w:left="644" w:right="-13" w:hanging="360"/>
        <w:jc w:val="both"/>
        <w:rPr/>
      </w:pPr>
      <w:r>
        <w:rPr>
          <w:rFonts w:cs="Arial" w:ascii="Arial" w:hAnsi="Arial"/>
          <w:color w:val="000000"/>
        </w:rPr>
        <w:t>Przysługuje Pani/Panu prawo wniesienia skargi do organu nadzorczego na niezgodne z RODO przetwarzanie Pani/Pana danych osobowych przez administratora.</w:t>
      </w:r>
    </w:p>
    <w:p>
      <w:pPr>
        <w:pStyle w:val="Normal"/>
        <w:numPr>
          <w:ilvl w:val="0"/>
          <w:numId w:val="0"/>
        </w:numPr>
        <w:spacing w:before="0" w:after="0"/>
        <w:ind w:left="928" w:right="-13" w:hanging="0"/>
        <w:jc w:val="both"/>
        <w:rPr>
          <w:rFonts w:ascii="Arial" w:hAnsi="Arial" w:cs="Arial"/>
          <w:color w:val="000000"/>
        </w:rPr>
      </w:pPr>
      <w:r>
        <w:rPr>
          <w:rFonts w:cs="Arial" w:ascii="Arial" w:hAnsi="Arial"/>
          <w:color w:val="000000"/>
        </w:rPr>
      </w:r>
    </w:p>
    <w:p>
      <w:pPr>
        <w:pStyle w:val="Normal"/>
        <w:spacing w:before="0" w:after="0"/>
        <w:ind w:left="284" w:right="-13" w:hanging="0"/>
        <w:jc w:val="both"/>
        <w:rPr/>
      </w:pPr>
      <w:r>
        <w:rPr>
          <w:rFonts w:eastAsia="Times New Roman" w:cs="Arial" w:ascii="Arial" w:hAnsi="Arial"/>
          <w:lang w:eastAsia="pl-PL"/>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pPr>
        <w:pStyle w:val="Normal"/>
        <w:spacing w:before="0" w:after="0"/>
        <w:ind w:right="-13"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III.TRYB UDZIELENIA ZAMÓWIENIA</w:t>
      </w:r>
    </w:p>
    <w:p>
      <w:pPr>
        <w:pStyle w:val="Normal"/>
        <w:numPr>
          <w:ilvl w:val="0"/>
          <w:numId w:val="1"/>
        </w:numPr>
        <w:spacing w:before="0" w:after="0"/>
        <w:ind w:left="425" w:hanging="425"/>
        <w:jc w:val="both"/>
        <w:rPr/>
      </w:pPr>
      <w:r>
        <w:rPr>
          <w:rFonts w:eastAsia="Times New Roman" w:cs="Arial" w:ascii="Arial" w:hAnsi="Arial"/>
          <w:lang w:eastAsia="pl-PL"/>
        </w:rPr>
        <w:t>Postępowanie o udzielenie zamówienia publicznego prowadzone jest zgodnie z art. 275 pkt.1 tj. w trybie podstawowym bez negocjacji ustawy z dnia  11 września 2019 r. - Prawo zamówień publicznych (Dz. U. z 20121r. poz. 1129z późn.zm) – dalej p.z.p.</w:t>
      </w:r>
    </w:p>
    <w:p>
      <w:pPr>
        <w:pStyle w:val="Normal"/>
        <w:numPr>
          <w:ilvl w:val="0"/>
          <w:numId w:val="1"/>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 spawach, które nie zostały uregulowane w niniejszej Specyfikacji Warunków Zamówienia, (zwanej dalej SWZ), mają zastosowanie przepisy p.z.p i akty wykonawcze ustawy.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przewiduje wyboru najkorzystniejszej oferty z możliwością prowadzenia negocjacji.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Szacunkowa wartość przedmiotowego zamówienia nie przekracza progów unijnych o jakich mowa w art. 3 ustawy p.z.p.  </w:t>
      </w:r>
    </w:p>
    <w:p>
      <w:pPr>
        <w:pStyle w:val="Normal"/>
        <w:numPr>
          <w:ilvl w:val="0"/>
          <w:numId w:val="1"/>
        </w:numPr>
        <w:spacing w:before="0" w:after="0"/>
        <w:ind w:left="426" w:hanging="426"/>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aukcji elektronicznej.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złożenia oferty w postaci katalogów elektronicznych.</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prowadzi postępowania w celu zawarcia umowy ramowej.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zastrzega możliwości ubiegania się o udzielenie zamówienia wyłącznie przez wykonawców, o których mowa w art. 94 p.z.p.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Zgodnie z art.95 ust.1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Powyższy wymóg nie dotyczy osób fizycznych prowadzących działalność gospodarczą w zakresie w jakim będą wykonywać osobiście usługi na rzecz Wykonawcy. </w:t>
      </w:r>
    </w:p>
    <w:p>
      <w:pPr>
        <w:pStyle w:val="Normal"/>
        <w:numPr>
          <w:ilvl w:val="0"/>
          <w:numId w:val="1"/>
        </w:numPr>
        <w:spacing w:before="0" w:after="0"/>
        <w:ind w:left="426" w:hanging="426"/>
        <w:jc w:val="both"/>
        <w:rPr/>
      </w:pPr>
      <w:r>
        <w:rPr>
          <w:rFonts w:eastAsia="Times New Roman" w:cs="Arial" w:ascii="Arial" w:hAnsi="Arial"/>
          <w:lang w:eastAsia="pl-PL"/>
        </w:rPr>
        <w:t xml:space="preserve">W trakcie realizacji zamówienia zamawiający uprawniony jest do wykonywania czynności kontrolnych wobec Wykonawcy odnośnie spełnienia przez Wykonawcę lub Podwykonawcę wymogu zatrudnienia na podstawie umowy o pracę.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określa dodatkowych wymagań związanych z zatrudnianiem osób, o których mowa w art. 96 ust. 2 pkt 2 p.z.p. </w:t>
      </w:r>
    </w:p>
    <w:p>
      <w:pPr>
        <w:pStyle w:val="Normal"/>
        <w:spacing w:before="0" w:after="0"/>
        <w:ind w:left="851" w:hanging="295"/>
        <w:jc w:val="both"/>
        <w:rPr>
          <w:rFonts w:ascii="Arial" w:hAnsi="Arial" w:eastAsia="Times New Roman" w:cs="Arial"/>
          <w:lang w:eastAsia="pl-PL"/>
        </w:rPr>
      </w:pPr>
      <w:r>
        <w:rPr>
          <w:rFonts w:eastAsia="Times New Roman" w:cs="Arial" w:ascii="Arial" w:hAnsi="Arial"/>
          <w:lang w:eastAsia="pl-PL"/>
        </w:rPr>
      </w:r>
    </w:p>
    <w:p>
      <w:pPr>
        <w:pStyle w:val="Normal"/>
        <w:spacing w:before="0" w:after="0"/>
        <w:ind w:left="851" w:hanging="851"/>
        <w:rPr>
          <w:rFonts w:ascii="Arial" w:hAnsi="Arial" w:eastAsia="Times New Roman" w:cs="Arial"/>
          <w:b/>
          <w:b/>
          <w:lang w:eastAsia="pl-PL"/>
        </w:rPr>
      </w:pPr>
      <w:r>
        <w:rPr>
          <w:rFonts w:eastAsia="Times New Roman" w:cs="Arial" w:ascii="Arial" w:hAnsi="Arial"/>
          <w:b/>
          <w:lang w:eastAsia="pl-PL"/>
        </w:rPr>
        <w:t>IV.OPIS PRZEDMIOTU ZAMÓWIENIA</w:t>
      </w:r>
    </w:p>
    <w:p>
      <w:pPr>
        <w:pStyle w:val="Style20"/>
        <w:widowControl/>
        <w:tabs>
          <w:tab w:val="left" w:pos="706" w:leader="none"/>
        </w:tabs>
        <w:spacing w:lineRule="auto" w:line="276"/>
        <w:ind w:hanging="0"/>
        <w:jc w:val="both"/>
        <w:rPr>
          <w:rFonts w:ascii="Arial Narrow" w:hAnsi="Arial Narrow" w:eastAsia="Times New Roman" w:cs="Times New Roman"/>
          <w:sz w:val="22"/>
          <w:szCs w:val="22"/>
          <w:lang w:eastAsia="en-US"/>
        </w:rPr>
      </w:pPr>
      <w:r>
        <w:rPr>
          <w:rFonts w:eastAsia="Times New Roman" w:cs="Times New Roman" w:ascii="Arial Narrow" w:hAnsi="Arial Narrow"/>
          <w:sz w:val="22"/>
          <w:szCs w:val="22"/>
          <w:lang w:eastAsia="en-US"/>
        </w:rPr>
      </w:r>
    </w:p>
    <w:p>
      <w:pPr>
        <w:pStyle w:val="Normal"/>
        <w:tabs>
          <w:tab w:val="left" w:pos="426" w:leader="none"/>
          <w:tab w:val="left" w:pos="540" w:leader="none"/>
        </w:tabs>
        <w:suppressAutoHyphens w:val="true"/>
        <w:spacing w:lineRule="auto" w:line="240"/>
        <w:jc w:val="both"/>
        <w:rPr/>
      </w:pPr>
      <w:r>
        <w:rPr>
          <w:rFonts w:ascii="Arial" w:hAnsi="Arial"/>
          <w:b/>
          <w:bCs/>
          <w:sz w:val="22"/>
          <w:szCs w:val="22"/>
        </w:rPr>
        <w:t xml:space="preserve">Zamówienie obejmować będzie </w:t>
      </w:r>
      <w:r>
        <w:rPr>
          <w:rFonts w:ascii="Arial" w:hAnsi="Arial"/>
          <w:b/>
          <w:bCs/>
          <w:color w:val="000000"/>
          <w:sz w:val="22"/>
          <w:szCs w:val="22"/>
        </w:rPr>
        <w:t xml:space="preserve">wykonywanie specjalistycznych usług opiekuńczych dla osób z zaburzeniami psychicznymi w miejscu ich zamieszkania na terenie  </w:t>
      </w:r>
      <w:r>
        <w:rPr>
          <w:rFonts w:ascii="Arial" w:hAnsi="Arial"/>
          <w:b/>
          <w:bCs/>
          <w:color w:val="000000"/>
          <w:sz w:val="22"/>
          <w:szCs w:val="22"/>
        </w:rPr>
        <w:t xml:space="preserve"> Gminy M</w:t>
      </w:r>
      <w:r>
        <w:rPr>
          <w:rFonts w:ascii="Arial" w:hAnsi="Arial"/>
          <w:b/>
          <w:bCs/>
          <w:color w:val="000000"/>
          <w:sz w:val="22"/>
          <w:szCs w:val="22"/>
        </w:rPr>
        <w:t xml:space="preserve">iasta Gostynina </w:t>
      </w:r>
      <w:r>
        <w:rPr>
          <w:rFonts w:ascii="Arial" w:hAnsi="Arial"/>
          <w:b/>
          <w:bCs/>
          <w:sz w:val="22"/>
          <w:szCs w:val="22"/>
        </w:rPr>
        <w:t>w szacunkowej ilości około 5 000 godzin rocznie we wszystkie dni tygodnia, w okresie od  01.01.2022 do  31.12.2022.</w:t>
      </w:r>
    </w:p>
    <w:p>
      <w:pPr>
        <w:pStyle w:val="Normal"/>
        <w:spacing w:lineRule="auto" w:line="240"/>
        <w:jc w:val="both"/>
        <w:rPr>
          <w:rFonts w:ascii="Arial" w:hAnsi="Arial"/>
          <w:b/>
          <w:b/>
          <w:bCs/>
          <w:sz w:val="22"/>
          <w:szCs w:val="22"/>
        </w:rPr>
      </w:pPr>
      <w:r>
        <w:rPr>
          <w:rFonts w:ascii="Arial" w:hAnsi="Arial"/>
          <w:b/>
          <w:bCs/>
          <w:sz w:val="22"/>
          <w:szCs w:val="22"/>
        </w:rPr>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Tretekstu"/>
        <w:spacing w:lineRule="auto" w:line="240"/>
        <w:jc w:val="both"/>
        <w:rPr>
          <w:rFonts w:ascii="Arial" w:hAnsi="Arial" w:cs="Times New Roman"/>
          <w:b/>
          <w:b/>
          <w:bCs/>
          <w:sz w:val="22"/>
          <w:szCs w:val="22"/>
        </w:rPr>
      </w:pPr>
      <w:r>
        <w:rPr>
          <w:rFonts w:cs="Times New Roman" w:ascii="Arial" w:hAnsi="Arial"/>
          <w:b/>
          <w:bCs/>
          <w:sz w:val="22"/>
          <w:szCs w:val="22"/>
        </w:rPr>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t>Zamówienie obejmuje świadczenie specjalistycznych usług opiekuńczych dla osób z zaburzeniami psychicznymi w miejscu zamieszkania zgodnie z  art.18 ust. 1 pkt. 3 i art. 50 ustawy z dnia 12 marca 2004 r. o pomocy społecznej (tj. Dz. U. z 2020 poz. 1876), oraz na podstawie Rozporządzenia Ministra Polityki Społecznej z dnia 22 września 2005 r. w sprawie specjalistycznych usług opiekuńczych (Dz. U. z 2005r., Nr 189, poz. 1598 ze zm.), a także zasad realizacji specjalistycznych usług opiekuńczych dla osób z zaburzeniami psychicznymi w województwie mazowieckim, które ukazały się na stronie internetowej Urzędu Wojewódzkiego w Warszawie w dniu 26 listopada 2015 roku.</w:t>
      </w:r>
    </w:p>
    <w:p>
      <w:pPr>
        <w:pStyle w:val="Tekstpodstawowy2"/>
        <w:spacing w:lineRule="auto" w:line="240" w:before="0" w:after="0"/>
        <w:jc w:val="both"/>
        <w:rPr>
          <w:rFonts w:ascii="Arial" w:hAnsi="Arial"/>
          <w:sz w:val="22"/>
          <w:szCs w:val="22"/>
        </w:rPr>
      </w:pPr>
      <w:r>
        <w:rPr>
          <w:rFonts w:ascii="Arial" w:hAnsi="Arial"/>
          <w:sz w:val="22"/>
          <w:szCs w:val="22"/>
        </w:rPr>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t>Celem specjalistycznych usług opiekuńczych jest poprawa jakości życia osób z zaburzeniami psychicznymi. Zgodnie z art. 3 ustawy o ochronie zdrowia psychicznego osoba z zaburzeniami psychicznymi to:</w:t>
      </w:r>
    </w:p>
    <w:p>
      <w:pPr>
        <w:pStyle w:val="Tekstpodstawowy2"/>
        <w:numPr>
          <w:ilvl w:val="0"/>
          <w:numId w:val="31"/>
        </w:numPr>
        <w:spacing w:lineRule="auto" w:line="240" w:before="0" w:after="0"/>
        <w:jc w:val="both"/>
        <w:rPr>
          <w:rFonts w:ascii="Arial" w:hAnsi="Arial"/>
          <w:sz w:val="22"/>
          <w:szCs w:val="22"/>
        </w:rPr>
      </w:pPr>
      <w:r>
        <w:rPr>
          <w:rFonts w:ascii="Arial" w:hAnsi="Arial"/>
          <w:sz w:val="22"/>
          <w:szCs w:val="22"/>
        </w:rPr>
        <w:t>osoba chora psychicznie</w:t>
      </w:r>
    </w:p>
    <w:p>
      <w:pPr>
        <w:pStyle w:val="Tekstpodstawowy2"/>
        <w:numPr>
          <w:ilvl w:val="0"/>
          <w:numId w:val="31"/>
        </w:numPr>
        <w:spacing w:lineRule="auto" w:line="240" w:before="0" w:after="0"/>
        <w:jc w:val="both"/>
        <w:rPr>
          <w:rFonts w:ascii="Arial" w:hAnsi="Arial"/>
          <w:sz w:val="22"/>
          <w:szCs w:val="22"/>
        </w:rPr>
      </w:pPr>
      <w:r>
        <w:rPr>
          <w:rFonts w:ascii="Arial" w:hAnsi="Arial"/>
          <w:sz w:val="22"/>
          <w:szCs w:val="22"/>
        </w:rPr>
        <w:t>osoba upośledzona umysłowo</w:t>
      </w:r>
    </w:p>
    <w:p>
      <w:pPr>
        <w:pStyle w:val="Tekstpodstawowy2"/>
        <w:numPr>
          <w:ilvl w:val="0"/>
          <w:numId w:val="31"/>
        </w:numPr>
        <w:spacing w:lineRule="auto" w:line="240" w:before="0" w:after="0"/>
        <w:jc w:val="both"/>
        <w:rPr>
          <w:rFonts w:ascii="Arial" w:hAnsi="Arial"/>
          <w:sz w:val="22"/>
          <w:szCs w:val="22"/>
        </w:rPr>
      </w:pPr>
      <w:r>
        <w:rPr>
          <w:rFonts w:ascii="Arial" w:hAnsi="Arial"/>
          <w:sz w:val="22"/>
          <w:szCs w:val="22"/>
        </w:rPr>
        <w:t>osoba wykazująca inne poważne zakłócenia czynności psychicznych, które zgodnie ze stanem wiedzy medycznej zaliczane są do zaburzeń psychicznych, a osoba ta wymaga takiej formy pomocy i opieki niezbędnej do życia w środowisku rodzinnym lub społecznym</w:t>
      </w:r>
    </w:p>
    <w:p>
      <w:pPr>
        <w:pStyle w:val="Tekstpodstawowy2"/>
        <w:spacing w:lineRule="auto" w:line="240" w:before="0" w:after="0"/>
        <w:jc w:val="both"/>
        <w:rPr>
          <w:rFonts w:ascii="Arial" w:hAnsi="Arial"/>
          <w:b/>
          <w:b/>
          <w:sz w:val="22"/>
          <w:szCs w:val="22"/>
        </w:rPr>
      </w:pPr>
      <w:r>
        <w:rPr>
          <w:rFonts w:ascii="Arial" w:hAnsi="Arial"/>
          <w:b/>
          <w:sz w:val="22"/>
          <w:szCs w:val="22"/>
        </w:rPr>
      </w:r>
    </w:p>
    <w:p>
      <w:pPr>
        <w:pStyle w:val="Tekstpodstawowy2"/>
        <w:spacing w:lineRule="auto" w:line="240" w:before="0" w:after="0"/>
        <w:jc w:val="both"/>
        <w:rPr>
          <w:rFonts w:ascii="Arial" w:hAnsi="Arial"/>
          <w:sz w:val="22"/>
          <w:szCs w:val="22"/>
        </w:rPr>
      </w:pPr>
      <w:r>
        <w:rPr>
          <w:rFonts w:ascii="Arial" w:hAnsi="Arial"/>
          <w:b/>
          <w:sz w:val="22"/>
          <w:szCs w:val="22"/>
        </w:rPr>
        <w:t>Wykonawca zobowiązuje się do</w:t>
      </w:r>
      <w:r>
        <w:rPr>
          <w:rFonts w:ascii="Arial" w:hAnsi="Arial"/>
          <w:sz w:val="22"/>
          <w:szCs w:val="22"/>
        </w:rPr>
        <w:t xml:space="preserve"> :</w:t>
      </w:r>
    </w:p>
    <w:p>
      <w:pPr>
        <w:pStyle w:val="Tekstpodstawowy2"/>
        <w:spacing w:lineRule="auto" w:line="240" w:before="0" w:after="0"/>
        <w:ind w:left="0" w:right="0" w:firstLine="709"/>
        <w:jc w:val="both"/>
        <w:rPr>
          <w:rFonts w:ascii="Arial" w:hAnsi="Arial"/>
          <w:sz w:val="22"/>
          <w:szCs w:val="22"/>
        </w:rPr>
      </w:pPr>
      <w:r>
        <w:rPr>
          <w:rFonts w:ascii="Arial" w:hAnsi="Arial"/>
          <w:sz w:val="22"/>
          <w:szCs w:val="22"/>
        </w:rPr>
      </w:r>
    </w:p>
    <w:p>
      <w:pPr>
        <w:pStyle w:val="Tekstpodstawowy2"/>
        <w:spacing w:lineRule="auto" w:line="240" w:before="0" w:after="0"/>
        <w:ind w:left="0" w:right="0" w:firstLine="360"/>
        <w:jc w:val="both"/>
        <w:rPr>
          <w:rFonts w:ascii="Arial" w:hAnsi="Arial"/>
          <w:sz w:val="22"/>
          <w:szCs w:val="22"/>
        </w:rPr>
      </w:pPr>
      <w:r>
        <w:rPr>
          <w:rFonts w:ascii="Arial" w:hAnsi="Arial"/>
          <w:sz w:val="22"/>
          <w:szCs w:val="22"/>
        </w:rPr>
        <w:t>I. Wykonywania specjalistycznych usług opiekuńczych zgodne z Rozporządzenia Ministra Polityki Społecznej z dnia 22 września 2005 r. w sprawie specjalistycznych usług opiekuńczych (Dz. U. z 2005 r., Nr 189, poz. 1598 ze zm.) która wyróżnia następujące rodzaje specjalistycznych usług:</w:t>
      </w:r>
    </w:p>
    <w:p>
      <w:pPr>
        <w:pStyle w:val="Gwka"/>
        <w:spacing w:lineRule="auto" w:line="240"/>
        <w:jc w:val="both"/>
        <w:rPr>
          <w:rFonts w:ascii="Arial" w:hAnsi="Arial"/>
          <w:sz w:val="22"/>
          <w:szCs w:val="22"/>
        </w:rPr>
      </w:pPr>
      <w:r>
        <w:rPr>
          <w:rFonts w:ascii="Arial" w:hAnsi="Arial"/>
          <w:sz w:val="22"/>
          <w:szCs w:val="22"/>
        </w:rPr>
      </w:r>
    </w:p>
    <w:p>
      <w:pPr>
        <w:pStyle w:val="Gwka"/>
        <w:numPr>
          <w:ilvl w:val="0"/>
          <w:numId w:val="32"/>
        </w:numPr>
        <w:spacing w:lineRule="auto" w:line="240"/>
        <w:ind w:left="426" w:right="0" w:hanging="426"/>
        <w:jc w:val="both"/>
        <w:rPr>
          <w:rFonts w:ascii="Arial" w:hAnsi="Arial"/>
          <w:sz w:val="22"/>
          <w:szCs w:val="22"/>
        </w:rPr>
      </w:pPr>
      <w:r>
        <w:rPr>
          <w:rFonts w:ascii="Arial" w:hAnsi="Arial"/>
          <w:sz w:val="22"/>
          <w:szCs w:val="22"/>
        </w:rPr>
        <w:t xml:space="preserve">uczenie i rozwijanie umiejętności niezbędnych do samodzielnego życia, w tym zwłaszcza: </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samoobsługa, zwłaszcza wykonywanie czynności gospodarczych i porządkowych, w tym umiejętność utrzymania i prowadzenia domu,</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dbałość o higienę i wygląd,</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utrzymywanie kontaktów z domownikami, rówieśnikami, w miejscu nauki i pracy oraz ze społecznością lokalną,</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wspólne organizowanie i spędzanie czasu wolnego,</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korzystanie z usług różnych instytucji.</w:t>
      </w:r>
    </w:p>
    <w:p>
      <w:pPr>
        <w:pStyle w:val="Gwka"/>
        <w:numPr>
          <w:ilvl w:val="0"/>
          <w:numId w:val="33"/>
        </w:numPr>
        <w:spacing w:lineRule="auto" w:line="240"/>
        <w:ind w:left="1080" w:right="0" w:hanging="720"/>
        <w:jc w:val="both"/>
        <w:rPr>
          <w:rFonts w:ascii="Arial" w:hAnsi="Arial"/>
          <w:sz w:val="22"/>
          <w:szCs w:val="22"/>
        </w:rPr>
      </w:pPr>
      <w:r>
        <w:rPr>
          <w:rFonts w:ascii="Arial" w:hAnsi="Arial"/>
          <w:sz w:val="22"/>
          <w:szCs w:val="22"/>
        </w:rPr>
        <w:t>interwencje i pomoc w życiu w rodzinie, w tym:</w:t>
      </w:r>
    </w:p>
    <w:p>
      <w:pPr>
        <w:pStyle w:val="Gwka"/>
        <w:numPr>
          <w:ilvl w:val="0"/>
          <w:numId w:val="34"/>
        </w:numPr>
        <w:tabs>
          <w:tab w:val="left" w:pos="15" w:leader="none"/>
          <w:tab w:val="left" w:pos="108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pomoc w radzeniu sobie w sytuacjach kryzysowych – poradnictwo specjalistyczne, interwencje kryzysowe, wsparcie psychologiczne, rozmowy terapeutyczne,</w:t>
      </w:r>
    </w:p>
    <w:p>
      <w:pPr>
        <w:pStyle w:val="Gwka"/>
        <w:numPr>
          <w:ilvl w:val="0"/>
          <w:numId w:val="34"/>
        </w:numPr>
        <w:tabs>
          <w:tab w:val="left" w:pos="105" w:leader="none"/>
          <w:tab w:val="left" w:pos="1140" w:leader="none"/>
          <w:tab w:val="center" w:pos="4536" w:leader="none"/>
          <w:tab w:val="right" w:pos="9072" w:leader="none"/>
        </w:tabs>
        <w:spacing w:lineRule="auto" w:line="240"/>
        <w:ind w:left="1134" w:right="0" w:hanging="397"/>
        <w:jc w:val="both"/>
        <w:rPr>
          <w:rFonts w:ascii="Arial" w:hAnsi="Arial"/>
          <w:sz w:val="22"/>
          <w:szCs w:val="22"/>
        </w:rPr>
      </w:pPr>
      <w:r>
        <w:rPr>
          <w:rFonts w:ascii="Arial" w:hAnsi="Arial"/>
          <w:sz w:val="22"/>
          <w:szCs w:val="22"/>
        </w:rPr>
        <w:t>ułatwienie dostępu do edukacji i kultury,</w:t>
      </w:r>
    </w:p>
    <w:p>
      <w:pPr>
        <w:pStyle w:val="Gwka"/>
        <w:numPr>
          <w:ilvl w:val="0"/>
          <w:numId w:val="34"/>
        </w:numPr>
        <w:tabs>
          <w:tab w:val="left" w:pos="15"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doradztwo, koordynacja działań innych służb na rzecz rodziny, której członkiem jest osoba uzyskująca pomoc w formie specjalistycznych usług,</w:t>
      </w:r>
    </w:p>
    <w:p>
      <w:pPr>
        <w:pStyle w:val="Gwka"/>
        <w:numPr>
          <w:ilvl w:val="0"/>
          <w:numId w:val="34"/>
        </w:numPr>
        <w:tabs>
          <w:tab w:val="left" w:pos="60"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kształtowanie pozytywnych relacji osoby wspieranej z osobami bliskimi,</w:t>
      </w:r>
    </w:p>
    <w:p>
      <w:pPr>
        <w:pStyle w:val="Gwka"/>
        <w:numPr>
          <w:ilvl w:val="0"/>
          <w:numId w:val="34"/>
        </w:numPr>
        <w:tabs>
          <w:tab w:val="left" w:pos="15"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współpraca z rodziną – kształtowanie odpowiednich postaw wobec osoby chorującej, niepełnosprawnej.</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pomoc w załatwieniu spraw urzędowych w tym:</w:t>
      </w:r>
    </w:p>
    <w:p>
      <w:pPr>
        <w:pStyle w:val="Gwka"/>
        <w:numPr>
          <w:ilvl w:val="0"/>
          <w:numId w:val="35"/>
        </w:numPr>
        <w:tabs>
          <w:tab w:val="left" w:pos="-615" w:leader="none"/>
          <w:tab w:val="left" w:pos="1185" w:leader="none"/>
          <w:tab w:val="center" w:pos="4536" w:leader="none"/>
          <w:tab w:val="right" w:pos="9072" w:leader="none"/>
        </w:tabs>
        <w:spacing w:lineRule="auto" w:line="240"/>
        <w:ind w:left="1800" w:right="0" w:hanging="1052"/>
        <w:jc w:val="both"/>
        <w:rPr>
          <w:rFonts w:ascii="Arial" w:hAnsi="Arial"/>
          <w:sz w:val="22"/>
          <w:szCs w:val="22"/>
        </w:rPr>
      </w:pPr>
      <w:r>
        <w:rPr>
          <w:rFonts w:ascii="Arial" w:hAnsi="Arial"/>
          <w:sz w:val="22"/>
          <w:szCs w:val="22"/>
        </w:rPr>
        <w:t>w uzyskaniu świadczeń socjalnych, emerytalno - rentowych,</w:t>
      </w:r>
    </w:p>
    <w:p>
      <w:pPr>
        <w:pStyle w:val="Gwka"/>
        <w:numPr>
          <w:ilvl w:val="0"/>
          <w:numId w:val="35"/>
        </w:numPr>
        <w:tabs>
          <w:tab w:val="left" w:pos="-615" w:leader="none"/>
          <w:tab w:val="left" w:pos="1245" w:leader="none"/>
          <w:tab w:val="center" w:pos="4536" w:leader="none"/>
          <w:tab w:val="right" w:pos="9072" w:leader="none"/>
        </w:tabs>
        <w:spacing w:lineRule="auto" w:line="240"/>
        <w:ind w:left="1800" w:right="0" w:hanging="1052"/>
        <w:jc w:val="both"/>
        <w:rPr>
          <w:rFonts w:ascii="Arial" w:hAnsi="Arial"/>
          <w:sz w:val="22"/>
          <w:szCs w:val="22"/>
        </w:rPr>
      </w:pPr>
      <w:r>
        <w:rPr>
          <w:rFonts w:ascii="Arial" w:hAnsi="Arial"/>
          <w:sz w:val="22"/>
          <w:szCs w:val="22"/>
        </w:rPr>
        <w:t>w wypełnianiu dokumentów urzędowych.</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wspieranie i pomoc w uzyskaniu zatrudnienia, w tym zwłaszcza:</w:t>
      </w:r>
    </w:p>
    <w:p>
      <w:pPr>
        <w:pStyle w:val="Gwka"/>
        <w:numPr>
          <w:ilvl w:val="0"/>
          <w:numId w:val="36"/>
        </w:numPr>
        <w:tabs>
          <w:tab w:val="left" w:pos="120" w:leader="none"/>
          <w:tab w:val="left" w:pos="124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Gwka"/>
        <w:numPr>
          <w:ilvl w:val="0"/>
          <w:numId w:val="36"/>
        </w:numPr>
        <w:tabs>
          <w:tab w:val="left" w:pos="15"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kompletowaniu dokumentów potrzebnych do zatrudnienia,</w:t>
      </w:r>
    </w:p>
    <w:p>
      <w:pPr>
        <w:pStyle w:val="Gwka"/>
        <w:numPr>
          <w:ilvl w:val="0"/>
          <w:numId w:val="36"/>
        </w:numPr>
        <w:tabs>
          <w:tab w:val="left" w:pos="60"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przygotowaniu do rozmowy z pracodawcą, wspieranie i asystowanie w kontaktach z pracodawcą,</w:t>
      </w:r>
    </w:p>
    <w:p>
      <w:pPr>
        <w:pStyle w:val="Gwka"/>
        <w:numPr>
          <w:ilvl w:val="0"/>
          <w:numId w:val="36"/>
        </w:numPr>
        <w:tabs>
          <w:tab w:val="left" w:pos="60" w:leader="none"/>
          <w:tab w:val="left" w:pos="108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rozwiązywaniu problemów psychicznych wynikających z pracy lub jej braku.</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pomoc w gospodarowaniu pieniędzmi, w tym:</w:t>
      </w:r>
    </w:p>
    <w:p>
      <w:pPr>
        <w:pStyle w:val="Gwka"/>
        <w:numPr>
          <w:ilvl w:val="0"/>
          <w:numId w:val="37"/>
        </w:numPr>
        <w:tabs>
          <w:tab w:val="left" w:pos="60"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nauka planowania budżetu, asystowanie przy ponoszeniu wydatków,</w:t>
      </w:r>
    </w:p>
    <w:p>
      <w:pPr>
        <w:pStyle w:val="Gwka"/>
        <w:numPr>
          <w:ilvl w:val="0"/>
          <w:numId w:val="37"/>
        </w:numPr>
        <w:tabs>
          <w:tab w:val="left" w:pos="15"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pomoc w uzyskaniu ulg w opłatach,</w:t>
      </w:r>
    </w:p>
    <w:p>
      <w:pPr>
        <w:pStyle w:val="Gwka"/>
        <w:numPr>
          <w:ilvl w:val="0"/>
          <w:numId w:val="37"/>
        </w:numPr>
        <w:tabs>
          <w:tab w:val="left" w:pos="60"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zwiększanie umiejętności gospodarowania własnym budżetem oraz usamodzielnianie finansowe.</w:t>
      </w:r>
    </w:p>
    <w:p>
      <w:pPr>
        <w:pStyle w:val="Gwka"/>
        <w:spacing w:lineRule="auto" w:line="240"/>
        <w:ind w:left="708" w:right="0" w:hanging="0"/>
        <w:jc w:val="both"/>
        <w:rPr>
          <w:rFonts w:ascii="Arial" w:hAnsi="Arial"/>
          <w:sz w:val="22"/>
          <w:szCs w:val="22"/>
        </w:rPr>
      </w:pPr>
      <w:r>
        <w:rPr>
          <w:rFonts w:ascii="Arial" w:hAnsi="Arial"/>
          <w:sz w:val="22"/>
          <w:szCs w:val="22"/>
        </w:rPr>
      </w:r>
    </w:p>
    <w:p>
      <w:pPr>
        <w:pStyle w:val="Gwka"/>
        <w:numPr>
          <w:ilvl w:val="0"/>
          <w:numId w:val="38"/>
        </w:numPr>
        <w:spacing w:lineRule="auto" w:line="240"/>
        <w:ind w:left="284" w:right="0" w:hanging="284"/>
        <w:jc w:val="both"/>
        <w:rPr>
          <w:rFonts w:ascii="Arial" w:hAnsi="Arial"/>
          <w:sz w:val="22"/>
          <w:szCs w:val="22"/>
        </w:rPr>
      </w:pPr>
      <w:r>
        <w:rPr>
          <w:rFonts w:ascii="Arial" w:hAnsi="Arial"/>
          <w:sz w:val="22"/>
          <w:szCs w:val="22"/>
        </w:rPr>
        <w:t>Pielęgnacja – jako wspieranie procesu leczenia, w tym:</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pomoc w dostępie do świadczeń zdrowotnych,</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uzgadnianie i pilnowanie terminów wizyt lekarskich, badań diagnostycznych,</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 xml:space="preserve">pomoc w wykupywaniu lub zamawianiu leków w aptece, </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pilnowanie przyjmowania leków oraz obserwowanie ewentualnych skutków ubocznych ich stosowania,</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w szczególnie uzasadnionych przypadkach zmiana opatrunków, pomoc w użyciu środków pomocniczych i materiałów medycznych, przedmiotów ortopedycznych, a także utrzymaniu higieny,</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pomoc w dotarciu do placówek służby zdrowia,</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pomoc w dotarciu do placówek rehabilitacyjnych.</w:t>
      </w:r>
    </w:p>
    <w:p>
      <w:pPr>
        <w:pStyle w:val="P11"/>
        <w:spacing w:lineRule="auto" w:line="240" w:before="0" w:after="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rFonts w:ascii="Arial" w:hAnsi="Arial"/>
          <w:sz w:val="22"/>
          <w:szCs w:val="22"/>
        </w:rPr>
      </w:pPr>
      <w:r>
        <w:rPr>
          <w:rFonts w:ascii="Arial" w:hAnsi="Arial"/>
          <w:sz w:val="22"/>
          <w:szCs w:val="22"/>
        </w:rPr>
        <w:t>3. Rehabilitacja fizyczna i usprawnianie zaburzonych funkcji organizmu w zakresie nieobjętym przepisami ustawy z dnia 27 sierpnia 2004 r. o świadczeniach opieki zdrowotnej finansowanych ze środków publicznych (Dz. U. z 2021 r. poz. 1285):</w:t>
      </w:r>
    </w:p>
    <w:p>
      <w:pPr>
        <w:pStyle w:val="P21"/>
        <w:tabs>
          <w:tab w:val="left" w:pos="630" w:leader="none"/>
        </w:tabs>
        <w:spacing w:lineRule="auto" w:line="240" w:before="0" w:after="0"/>
        <w:ind w:left="748" w:right="0" w:hanging="374"/>
        <w:jc w:val="both"/>
        <w:rPr>
          <w:rFonts w:ascii="Arial" w:hAnsi="Arial"/>
          <w:sz w:val="22"/>
          <w:szCs w:val="22"/>
        </w:rPr>
      </w:pPr>
      <w:r>
        <w:rPr>
          <w:rFonts w:ascii="Arial" w:hAnsi="Arial"/>
          <w:sz w:val="22"/>
          <w:szCs w:val="22"/>
        </w:rPr>
        <w:t>a) zgodnie z zaleceniami lekarskimi lub specjalisty z zakresu rehabilitacji ruchowej lub fizjoterapii,</w:t>
      </w:r>
    </w:p>
    <w:p>
      <w:pPr>
        <w:pStyle w:val="Gwka"/>
        <w:spacing w:lineRule="auto" w:line="240"/>
        <w:ind w:left="568" w:right="0" w:hanging="194"/>
        <w:jc w:val="both"/>
        <w:rPr>
          <w:rFonts w:ascii="Arial" w:hAnsi="Arial"/>
          <w:sz w:val="22"/>
          <w:szCs w:val="22"/>
        </w:rPr>
      </w:pPr>
      <w:r>
        <w:rPr>
          <w:rFonts w:ascii="Arial" w:hAnsi="Arial"/>
          <w:sz w:val="22"/>
          <w:szCs w:val="22"/>
        </w:rPr>
        <w:t>b) współpraca ze specjalistami w zakresie wspierania psychologiczno-pedagogicznego i edukacyjno-terapeutycznego zmierzającego do wielostronnej aktywizacji osoby korzystającej ze specjalistycznych usług</w:t>
      </w:r>
    </w:p>
    <w:p>
      <w:pPr>
        <w:pStyle w:val="Gwka"/>
        <w:spacing w:lineRule="auto" w:line="240"/>
        <w:ind w:left="284" w:right="0" w:hanging="284"/>
        <w:jc w:val="both"/>
        <w:rPr>
          <w:rFonts w:ascii="Arial" w:hAnsi="Arial"/>
          <w:sz w:val="22"/>
          <w:szCs w:val="22"/>
        </w:rPr>
      </w:pPr>
      <w:r>
        <w:rPr>
          <w:rFonts w:ascii="Arial" w:hAnsi="Arial"/>
          <w:sz w:val="22"/>
          <w:szCs w:val="22"/>
        </w:rPr>
      </w:r>
    </w:p>
    <w:p>
      <w:pPr>
        <w:pStyle w:val="Gwka"/>
        <w:spacing w:lineRule="auto" w:line="240"/>
        <w:ind w:left="284" w:right="0" w:hanging="284"/>
        <w:jc w:val="both"/>
        <w:rPr>
          <w:rFonts w:ascii="Arial" w:hAnsi="Arial"/>
          <w:sz w:val="22"/>
          <w:szCs w:val="22"/>
        </w:rPr>
      </w:pPr>
      <w:r>
        <w:rPr>
          <w:rFonts w:ascii="Arial" w:hAnsi="Arial"/>
          <w:sz w:val="22"/>
          <w:szCs w:val="22"/>
        </w:rPr>
        <w:t xml:space="preserve">4. Pomoc mieszkaniowa, w tym: </w:t>
      </w:r>
    </w:p>
    <w:p>
      <w:pPr>
        <w:pStyle w:val="Normal"/>
        <w:numPr>
          <w:ilvl w:val="0"/>
          <w:numId w:val="45"/>
        </w:numPr>
        <w:tabs>
          <w:tab w:val="left" w:pos="-705" w:leader="none"/>
        </w:tabs>
        <w:spacing w:lineRule="auto" w:line="240"/>
        <w:ind w:left="1440" w:right="0" w:hanging="1080"/>
        <w:jc w:val="both"/>
        <w:rPr>
          <w:rFonts w:ascii="Arial" w:hAnsi="Arial"/>
          <w:sz w:val="22"/>
          <w:szCs w:val="22"/>
        </w:rPr>
      </w:pPr>
      <w:r>
        <w:rPr>
          <w:rFonts w:ascii="Arial" w:hAnsi="Arial"/>
          <w:sz w:val="22"/>
          <w:szCs w:val="22"/>
        </w:rPr>
        <w:t>w uzyskaniu mieszkania, negocjowaniu i wnoszeniu opłat,</w:t>
      </w:r>
    </w:p>
    <w:p>
      <w:pPr>
        <w:pStyle w:val="Normal"/>
        <w:numPr>
          <w:ilvl w:val="0"/>
          <w:numId w:val="45"/>
        </w:numPr>
        <w:tabs>
          <w:tab w:val="left" w:pos="-705" w:leader="none"/>
          <w:tab w:val="left" w:pos="795" w:leader="none"/>
          <w:tab w:val="left" w:pos="1020" w:leader="none"/>
        </w:tabs>
        <w:spacing w:lineRule="auto" w:line="240"/>
        <w:ind w:left="1440" w:right="0" w:hanging="1080"/>
        <w:jc w:val="both"/>
        <w:rPr>
          <w:rFonts w:ascii="Arial" w:hAnsi="Arial"/>
          <w:sz w:val="22"/>
          <w:szCs w:val="22"/>
        </w:rPr>
      </w:pPr>
      <w:r>
        <w:rPr>
          <w:rFonts w:ascii="Arial" w:hAnsi="Arial"/>
          <w:sz w:val="22"/>
          <w:szCs w:val="22"/>
        </w:rPr>
        <w:t>w organizowaniu drobnych remontów, adaptacji, napraw, likwidacji barier architektonicznych,</w:t>
      </w:r>
    </w:p>
    <w:p>
      <w:pPr>
        <w:pStyle w:val="Normal"/>
        <w:numPr>
          <w:ilvl w:val="0"/>
          <w:numId w:val="45"/>
        </w:numPr>
        <w:tabs>
          <w:tab w:val="left" w:pos="-705" w:leader="none"/>
        </w:tabs>
        <w:spacing w:lineRule="auto" w:line="240"/>
        <w:ind w:left="1440" w:right="0" w:hanging="1080"/>
        <w:jc w:val="both"/>
        <w:rPr>
          <w:rFonts w:ascii="Arial" w:hAnsi="Arial"/>
          <w:sz w:val="22"/>
          <w:szCs w:val="22"/>
        </w:rPr>
      </w:pPr>
      <w:r>
        <w:rPr>
          <w:rFonts w:ascii="Arial" w:hAnsi="Arial"/>
          <w:sz w:val="22"/>
          <w:szCs w:val="22"/>
        </w:rPr>
        <w:t>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Arial" w:hAnsi="Arial"/>
          <w:sz w:val="22"/>
          <w:szCs w:val="22"/>
        </w:rPr>
      </w:pPr>
      <w:r>
        <w:rPr>
          <w:rFonts w:ascii="Arial" w:hAnsi="Arial"/>
          <w:sz w:val="22"/>
          <w:szCs w:val="22"/>
        </w:rPr>
      </w:r>
    </w:p>
    <w:p>
      <w:pPr>
        <w:pStyle w:val="Gwka"/>
        <w:numPr>
          <w:ilvl w:val="0"/>
          <w:numId w:val="40"/>
        </w:numPr>
        <w:tabs>
          <w:tab w:val="left" w:pos="284" w:leader="none"/>
          <w:tab w:val="center" w:pos="4536" w:leader="none"/>
          <w:tab w:val="right" w:pos="9072" w:leader="none"/>
        </w:tabs>
        <w:spacing w:lineRule="auto" w:line="240"/>
        <w:ind w:left="284" w:right="0" w:hanging="284"/>
        <w:jc w:val="both"/>
        <w:rPr>
          <w:rFonts w:ascii="Arial" w:hAnsi="Arial"/>
          <w:sz w:val="22"/>
          <w:szCs w:val="22"/>
        </w:rPr>
      </w:pPr>
      <w:r>
        <w:rPr>
          <w:rFonts w:ascii="Arial" w:hAnsi="Arial"/>
          <w:sz w:val="22"/>
          <w:szCs w:val="22"/>
        </w:rPr>
        <w:t xml:space="preserve">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284" w:leader="none"/>
        </w:tabs>
        <w:spacing w:lineRule="auto" w:line="240"/>
        <w:ind w:left="284" w:right="0" w:hanging="284"/>
        <w:jc w:val="both"/>
        <w:rPr>
          <w:rFonts w:ascii="Arial" w:hAnsi="Arial"/>
          <w:b/>
          <w:b/>
          <w:bCs/>
          <w:sz w:val="22"/>
          <w:szCs w:val="22"/>
        </w:rPr>
      </w:pPr>
      <w:r>
        <w:rPr>
          <w:rFonts w:ascii="Arial" w:hAnsi="Arial"/>
          <w:b/>
          <w:bCs/>
          <w:sz w:val="22"/>
          <w:szCs w:val="22"/>
        </w:rPr>
      </w:r>
    </w:p>
    <w:p>
      <w:pPr>
        <w:pStyle w:val="Normal"/>
        <w:numPr>
          <w:ilvl w:val="0"/>
          <w:numId w:val="0"/>
        </w:numPr>
        <w:spacing w:lineRule="auto" w:line="240"/>
        <w:ind w:left="720" w:right="0" w:hanging="0"/>
        <w:jc w:val="both"/>
        <w:rPr>
          <w:rFonts w:ascii="Arial" w:hAnsi="Arial"/>
          <w:bCs/>
          <w:sz w:val="22"/>
          <w:szCs w:val="22"/>
        </w:rPr>
      </w:pPr>
      <w:r>
        <w:rPr>
          <w:rFonts w:ascii="Arial" w:hAnsi="Arial"/>
          <w:bCs/>
          <w:sz w:val="22"/>
          <w:szCs w:val="22"/>
        </w:rPr>
        <w:t>II. 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Arial" w:hAnsi="Arial"/>
          <w:bCs/>
          <w:sz w:val="22"/>
          <w:szCs w:val="22"/>
        </w:rPr>
      </w:pPr>
      <w:r>
        <w:rPr>
          <w:rFonts w:ascii="Arial" w:hAnsi="Arial"/>
          <w:bCs/>
          <w:sz w:val="22"/>
          <w:szCs w:val="22"/>
        </w:rPr>
      </w:r>
    </w:p>
    <w:p>
      <w:pPr>
        <w:pStyle w:val="NormalnyWeb"/>
        <w:spacing w:lineRule="auto" w:line="240" w:before="0" w:after="0"/>
        <w:jc w:val="both"/>
        <w:rPr>
          <w:rFonts w:ascii="Arial" w:hAnsi="Arial"/>
          <w:sz w:val="22"/>
          <w:szCs w:val="22"/>
        </w:rPr>
      </w:pPr>
      <w:r>
        <w:rPr>
          <w:rFonts w:ascii="Arial" w:hAnsi="Arial"/>
          <w:sz w:val="22"/>
          <w:szCs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nyWeb"/>
        <w:spacing w:lineRule="auto" w:line="240" w:before="0" w:after="0"/>
        <w:jc w:val="both"/>
        <w:rPr/>
      </w:pPr>
      <w:r>
        <w:rPr>
          <w:rFonts w:ascii="Arial" w:hAnsi="Arial"/>
          <w:sz w:val="22"/>
          <w:szCs w:val="22"/>
        </w:rPr>
        <w:t xml:space="preserve">2.  Ponadto kandydat na realizatora specjalistycznych usług opiekuńczych musi legitymować się co najmniej półrocznym stażem w jednej z następujących instytucji wskazanych w </w:t>
      </w:r>
      <w:r>
        <w:rPr>
          <w:rFonts w:ascii="Arial" w:hAnsi="Arial"/>
          <w:bCs/>
          <w:sz w:val="22"/>
          <w:szCs w:val="22"/>
        </w:rPr>
        <w:t>§ 3 ust. 2 ww. rozporządzenia:</w:t>
      </w:r>
      <w:r>
        <w:rPr>
          <w:rFonts w:ascii="Arial" w:hAnsi="Arial"/>
          <w:sz w:val="22"/>
          <w:szCs w:val="22"/>
        </w:rPr>
        <w:t xml:space="preserve"> szpitalu psychiatrycznym; jednostce organizacyjnej pomocy społecznej dla osób z zaburzeniami psychicznymi; placówce terapii lub placówce oświatowej, do której uczęszczają dzieci z zaburzeniami rozwoju lub upośledzeniem umysłowym; ośrodku terapeutyczno - edukacyjno- wychowawczym;  zakładzie rehabilitacji;  innej jednostce niż wymienione w pkt. jak powyżej, świadczącej specjalistyczne usługi opiekuńcze dla osób z zaburzeniami psychicznymi.</w:t>
      </w:r>
    </w:p>
    <w:p>
      <w:pPr>
        <w:pStyle w:val="Tekstpodstawowy2"/>
        <w:spacing w:lineRule="auto" w:line="240" w:before="0" w:after="0"/>
        <w:ind w:left="0" w:right="0" w:firstLine="708"/>
        <w:jc w:val="both"/>
        <w:rPr/>
      </w:pPr>
      <w:r>
        <w:rPr>
          <w:rFonts w:ascii="Arial" w:hAnsi="Arial"/>
          <w:sz w:val="22"/>
          <w:szCs w:val="22"/>
        </w:rPr>
        <w:t>Powyższy staż nie może być zastąpiony nawet półrocznym kursem w zakresie świadczenia specjalistycznych usług opiekuńczych, ani praktyka odbywaną w trakcie studiów (interpretacja zgodnie z zasadami realizacji specjalistycznych usług opiekuńczych dla osób z zaburzeniami psychicznymi w województwie mazowieckim  z  dnia 26 listopada 2015 roku).</w:t>
      </w:r>
    </w:p>
    <w:p>
      <w:pPr>
        <w:pStyle w:val="NormalnyWeb"/>
        <w:spacing w:lineRule="auto" w:line="240" w:before="0" w:after="0"/>
        <w:jc w:val="both"/>
        <w:rPr>
          <w:rFonts w:ascii="Arial" w:hAnsi="Arial"/>
          <w:sz w:val="22"/>
          <w:szCs w:val="22"/>
        </w:rPr>
      </w:pPr>
      <w:r>
        <w:rPr>
          <w:rFonts w:ascii="Arial" w:hAnsi="Arial"/>
          <w:sz w:val="22"/>
          <w:szCs w:val="22"/>
        </w:rPr>
      </w:r>
    </w:p>
    <w:p>
      <w:pPr>
        <w:pStyle w:val="NormalnyWeb"/>
        <w:spacing w:lineRule="auto" w:line="240" w:before="0" w:after="0"/>
        <w:jc w:val="both"/>
        <w:rPr/>
      </w:pPr>
      <w:r>
        <w:rPr>
          <w:rFonts w:ascii="Arial" w:hAnsi="Arial"/>
          <w:sz w:val="22"/>
          <w:szCs w:val="22"/>
        </w:rPr>
        <w:tab/>
        <w:t>W uzasadnionych przypadkach specjalistyczne usługi mogą być świadczone przez osoby, które zdobywają lub podnoszą wymagane kwalifikacje zawodowe określone w ust.1, posiadają co najmniej roczny staż pracy w jednostkach, o których mowa w ust. 2 i maja zapewniona możliwość konsultacji z osobami świadczącymi specjalistyczne usługi, posiadającymi wymagane kwalifikacje.</w:t>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r>
    </w:p>
    <w:p>
      <w:pPr>
        <w:pStyle w:val="Tekstpodstawowy2"/>
        <w:spacing w:lineRule="auto" w:line="240" w:before="0" w:after="0"/>
        <w:jc w:val="both"/>
        <w:rPr>
          <w:rFonts w:ascii="Arial" w:hAnsi="Arial"/>
          <w:sz w:val="22"/>
          <w:szCs w:val="22"/>
        </w:rPr>
      </w:pPr>
      <w:r>
        <w:rPr>
          <w:rFonts w:ascii="Arial" w:hAnsi="Arial"/>
          <w:sz w:val="22"/>
          <w:szCs w:val="22"/>
        </w:rPr>
        <w:t>3.  Osoby świadczące usługi, o których mowa w § 2 pkt 1 lit. a Rozporządzenia Ministra Polityki Społecznej z dnia 22 września 2005 r. w sprawie specjalistycznych usług opiekuńczych (Dz. U. z 2005r., Nr 189, poz. 1598 ze zm.), muszą posiadać przeszkolenie i doświadczenie w zakresie:</w:t>
      </w:r>
    </w:p>
    <w:p>
      <w:pPr>
        <w:pStyle w:val="NormalnyWeb"/>
        <w:spacing w:lineRule="auto" w:line="240" w:before="0" w:after="0"/>
        <w:ind w:left="0" w:right="0" w:firstLine="374"/>
        <w:jc w:val="both"/>
        <w:rPr>
          <w:rFonts w:ascii="Arial" w:hAnsi="Arial"/>
          <w:sz w:val="22"/>
          <w:szCs w:val="22"/>
        </w:rPr>
      </w:pPr>
      <w:r>
        <w:rPr>
          <w:rFonts w:ascii="Arial" w:hAnsi="Arial"/>
          <w:sz w:val="22"/>
          <w:szCs w:val="22"/>
        </w:rPr>
        <w:t>a) umiejętności kształtowania motywacji do akceptowanych przez otoczenie zachowań;</w:t>
      </w:r>
    </w:p>
    <w:p>
      <w:pPr>
        <w:pStyle w:val="NormalnyWeb"/>
        <w:spacing w:lineRule="auto" w:line="240" w:before="0" w:after="0"/>
        <w:ind w:left="0" w:right="0" w:firstLine="374"/>
        <w:jc w:val="both"/>
        <w:rPr>
          <w:rFonts w:ascii="Arial" w:hAnsi="Arial"/>
          <w:sz w:val="22"/>
          <w:szCs w:val="22"/>
        </w:rPr>
      </w:pPr>
      <w:r>
        <w:rPr>
          <w:rFonts w:ascii="Arial" w:hAnsi="Arial"/>
          <w:sz w:val="22"/>
          <w:szCs w:val="22"/>
        </w:rPr>
        <w:t>b) kształtowania nawyków celowej aktywności;</w:t>
      </w:r>
    </w:p>
    <w:p>
      <w:pPr>
        <w:pStyle w:val="NormalnyWeb"/>
        <w:spacing w:lineRule="auto" w:line="240" w:before="0" w:after="0"/>
        <w:ind w:left="0" w:right="0" w:firstLine="374"/>
        <w:jc w:val="both"/>
        <w:rPr>
          <w:rFonts w:ascii="Arial" w:hAnsi="Arial"/>
          <w:sz w:val="22"/>
          <w:szCs w:val="22"/>
        </w:rPr>
      </w:pPr>
      <w:r>
        <w:rPr>
          <w:rFonts w:ascii="Arial" w:hAnsi="Arial"/>
          <w:sz w:val="22"/>
          <w:szCs w:val="22"/>
        </w:rPr>
        <w:t>c) prowadzenia treningu zachowań społecznych.</w:t>
      </w:r>
    </w:p>
    <w:p>
      <w:pPr>
        <w:pStyle w:val="NormalnyWeb"/>
        <w:spacing w:lineRule="auto" w:line="240" w:before="0" w:after="0"/>
        <w:jc w:val="both"/>
        <w:rPr>
          <w:rFonts w:ascii="Arial" w:hAnsi="Arial"/>
          <w:sz w:val="22"/>
          <w:szCs w:val="22"/>
        </w:rPr>
      </w:pPr>
      <w:r>
        <w:rPr>
          <w:rFonts w:ascii="Arial" w:hAnsi="Arial"/>
          <w:sz w:val="22"/>
          <w:szCs w:val="22"/>
        </w:rPr>
      </w:r>
    </w:p>
    <w:p>
      <w:pPr>
        <w:pStyle w:val="NormalnyWeb"/>
        <w:spacing w:lineRule="auto" w:line="240" w:before="0" w:after="0"/>
        <w:jc w:val="both"/>
        <w:rPr>
          <w:rFonts w:ascii="Arial" w:hAnsi="Arial"/>
          <w:sz w:val="22"/>
          <w:szCs w:val="22"/>
        </w:rPr>
      </w:pPr>
      <w:r>
        <w:rPr>
          <w:rFonts w:ascii="Arial" w:hAnsi="Arial"/>
          <w:sz w:val="22"/>
          <w:szCs w:val="22"/>
        </w:rPr>
        <w:t>4. Kwalifikacje realizatorów usług powinny być odpowiednie do rodzaju zaburzeń psychicznych klientów, ich potrzeb oraz zakresu i rodzaju usług.</w:t>
      </w:r>
    </w:p>
    <w:p>
      <w:pPr>
        <w:pStyle w:val="NormalnyWeb"/>
        <w:spacing w:lineRule="auto" w:line="240" w:before="0" w:after="0"/>
        <w:jc w:val="both"/>
        <w:rPr>
          <w:rFonts w:ascii="Arial" w:hAnsi="Arial"/>
        </w:rPr>
      </w:pPr>
      <w:r>
        <w:rPr>
          <w:rFonts w:ascii="Arial" w:hAnsi="Arial"/>
          <w:b w:val="false"/>
          <w:bCs w:val="false"/>
          <w:sz w:val="22"/>
          <w:szCs w:val="22"/>
        </w:rPr>
        <w:t>5. 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nyWeb"/>
        <w:spacing w:lineRule="auto" w:line="240" w:before="0" w:after="0"/>
        <w:jc w:val="both"/>
        <w:rPr>
          <w:rFonts w:ascii="Arial" w:hAnsi="Arial"/>
        </w:rPr>
      </w:pPr>
      <w:r>
        <w:rPr>
          <w:rFonts w:ascii="Arial" w:hAnsi="Arial"/>
          <w:b w:val="false"/>
          <w:bCs w:val="false"/>
          <w:sz w:val="22"/>
          <w:szCs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nyWeb"/>
        <w:spacing w:lineRule="auto" w:line="240" w:before="0" w:after="0"/>
        <w:jc w:val="both"/>
        <w:rPr>
          <w:rFonts w:ascii="Arial" w:hAnsi="Arial"/>
        </w:rPr>
      </w:pPr>
      <w:r>
        <w:rPr>
          <w:rFonts w:ascii="Arial" w:hAnsi="Arial"/>
          <w:b w:val="false"/>
          <w:bCs w:val="false"/>
          <w:sz w:val="22"/>
          <w:szCs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nyWeb"/>
        <w:spacing w:lineRule="auto" w:line="240" w:before="0" w:after="0"/>
        <w:jc w:val="both"/>
        <w:rPr>
          <w:rFonts w:ascii="Arial" w:hAnsi="Arial"/>
        </w:rPr>
      </w:pPr>
      <w:r>
        <w:rPr>
          <w:rFonts w:ascii="Arial" w:hAnsi="Arial"/>
          <w:b w:val="false"/>
          <w:bCs w:val="false"/>
          <w:sz w:val="22"/>
          <w:szCs w:val="22"/>
        </w:rPr>
        <w:t>8. Wykonawca musi zapewnić odpowiednią ilość kadry wyznaczonej do realizacji przedmiotu zamówienia, pozwalającą na płynne dokonywanie zastępstw, tak aby uniknąć sytuacji pozostawienia klienta bez opieki.</w:t>
      </w:r>
    </w:p>
    <w:p>
      <w:pPr>
        <w:pStyle w:val="NormalnyWeb"/>
        <w:spacing w:lineRule="auto" w:line="240" w:before="0" w:after="0"/>
        <w:jc w:val="both"/>
        <w:rPr>
          <w:rFonts w:ascii="Arial" w:hAnsi="Arial"/>
        </w:rPr>
      </w:pPr>
      <w:r>
        <w:rPr>
          <w:rFonts w:ascii="Arial" w:hAnsi="Arial"/>
          <w:b w:val="false"/>
          <w:bCs w:val="false"/>
          <w:sz w:val="22"/>
          <w:szCs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Arial" w:hAnsi="Arial"/>
          <w:bCs/>
          <w:sz w:val="22"/>
          <w:szCs w:val="22"/>
        </w:rPr>
      </w:pPr>
      <w:r>
        <w:rPr>
          <w:rFonts w:ascii="Arial" w:hAnsi="Arial"/>
          <w:bCs/>
          <w:sz w:val="22"/>
          <w:szCs w:val="22"/>
        </w:rPr>
      </w:r>
    </w:p>
    <w:p>
      <w:pPr>
        <w:pStyle w:val="Normal"/>
        <w:tabs>
          <w:tab w:val="left" w:pos="0" w:leader="none"/>
          <w:tab w:val="left" w:pos="360" w:leader="none"/>
        </w:tabs>
        <w:spacing w:lineRule="auto" w:line="240"/>
        <w:jc w:val="both"/>
        <w:rPr>
          <w:rFonts w:ascii="Arial" w:hAnsi="Arial"/>
          <w:sz w:val="22"/>
          <w:szCs w:val="22"/>
        </w:rPr>
      </w:pPr>
      <w:r>
        <w:rPr>
          <w:rFonts w:ascii="Arial" w:hAnsi="Arial"/>
          <w:sz w:val="22"/>
          <w:szCs w:val="22"/>
        </w:rPr>
        <w:t>III. Świadczenia usług zgodnie z otrzymaną decyzją administracyjną przyznającą usługę dla konkretnej osoby (świadczeniobiorcy) i określającą:</w:t>
      </w:r>
    </w:p>
    <w:p>
      <w:pPr>
        <w:pStyle w:val="Normal"/>
        <w:numPr>
          <w:ilvl w:val="0"/>
          <w:numId w:val="41"/>
        </w:numPr>
        <w:tabs>
          <w:tab w:val="left" w:pos="360" w:leader="none"/>
          <w:tab w:val="left" w:pos="561" w:leader="none"/>
        </w:tabs>
        <w:suppressAutoHyphens w:val="true"/>
        <w:spacing w:lineRule="auto" w:line="240"/>
        <w:ind w:left="748" w:right="0" w:hanging="561"/>
        <w:jc w:val="both"/>
        <w:rPr>
          <w:rFonts w:ascii="Arial" w:hAnsi="Arial"/>
          <w:sz w:val="22"/>
          <w:szCs w:val="22"/>
        </w:rPr>
      </w:pPr>
      <w:r>
        <w:rPr>
          <w:rFonts w:ascii="Arial" w:hAnsi="Arial"/>
          <w:sz w:val="22"/>
          <w:szCs w:val="22"/>
        </w:rPr>
        <w:t>rodzaj usługi  zgodnie z zaświadczeniem lekarskim</w:t>
      </w:r>
    </w:p>
    <w:p>
      <w:pPr>
        <w:pStyle w:val="Normal"/>
        <w:numPr>
          <w:ilvl w:val="0"/>
          <w:numId w:val="41"/>
        </w:numPr>
        <w:tabs>
          <w:tab w:val="left" w:pos="360" w:leader="none"/>
          <w:tab w:val="left" w:pos="561" w:leader="none"/>
        </w:tabs>
        <w:suppressAutoHyphens w:val="true"/>
        <w:spacing w:lineRule="auto" w:line="240"/>
        <w:ind w:left="748" w:right="0" w:hanging="561"/>
        <w:jc w:val="both"/>
        <w:rPr>
          <w:rFonts w:ascii="Arial" w:hAnsi="Arial"/>
          <w:sz w:val="22"/>
          <w:szCs w:val="22"/>
        </w:rPr>
      </w:pPr>
      <w:r>
        <w:rPr>
          <w:rFonts w:ascii="Arial" w:hAnsi="Arial"/>
          <w:sz w:val="22"/>
          <w:szCs w:val="22"/>
        </w:rPr>
        <w:t>czas jej wykonywania</w:t>
      </w:r>
    </w:p>
    <w:p>
      <w:pPr>
        <w:pStyle w:val="Normal"/>
        <w:numPr>
          <w:ilvl w:val="0"/>
          <w:numId w:val="41"/>
        </w:numPr>
        <w:tabs>
          <w:tab w:val="left" w:pos="360" w:leader="none"/>
          <w:tab w:val="left" w:pos="561" w:leader="none"/>
          <w:tab w:val="left" w:pos="570" w:leader="none"/>
          <w:tab w:val="left" w:pos="630" w:leader="none"/>
        </w:tabs>
        <w:suppressAutoHyphens w:val="true"/>
        <w:spacing w:lineRule="auto" w:line="240"/>
        <w:ind w:left="748" w:right="0" w:hanging="561"/>
        <w:jc w:val="both"/>
        <w:rPr>
          <w:rFonts w:ascii="Arial" w:hAnsi="Arial"/>
          <w:sz w:val="22"/>
          <w:szCs w:val="22"/>
        </w:rPr>
      </w:pPr>
      <w:r>
        <w:rPr>
          <w:rFonts w:ascii="Arial" w:hAnsi="Arial"/>
          <w:sz w:val="22"/>
          <w:szCs w:val="22"/>
        </w:rPr>
        <w:t>wysokość odpłatności ponoszonej przez świadczeniobiorcę i warunki spłaty lub zwolnienie z opłaty oraz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 (Dz. U. z 2021 r., poz. 1285).</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t>IV. Świadczenie usług niezwłocznie po otrzymaniu decyzji administracyjnej.</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t>V. Świadczenia usług w miejscu zamieszkania świadczeniobiorcy.</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t>VI. Zapewnienia w razie potrzeby konsultacji lekarza psychiatry i psychologa.</w:t>
      </w:r>
    </w:p>
    <w:p>
      <w:pPr>
        <w:pStyle w:val="Normal"/>
        <w:spacing w:lineRule="auto" w:line="240"/>
        <w:jc w:val="both"/>
        <w:rPr>
          <w:rFonts w:ascii="Arial" w:hAnsi="Arial"/>
          <w:sz w:val="22"/>
          <w:szCs w:val="22"/>
        </w:rPr>
      </w:pPr>
      <w:r>
        <w:rPr>
          <w:rFonts w:ascii="Arial" w:hAnsi="Arial"/>
          <w:sz w:val="22"/>
          <w:szCs w:val="22"/>
        </w:rPr>
      </w:r>
    </w:p>
    <w:p>
      <w:pPr>
        <w:pStyle w:val="Normal"/>
        <w:spacing w:lineRule="auto" w:line="240"/>
        <w:jc w:val="both"/>
        <w:rPr>
          <w:rFonts w:ascii="Arial" w:hAnsi="Arial"/>
          <w:sz w:val="22"/>
          <w:szCs w:val="22"/>
        </w:rPr>
      </w:pPr>
      <w:r>
        <w:rPr>
          <w:rFonts w:ascii="Arial" w:hAnsi="Arial"/>
          <w:sz w:val="22"/>
          <w:szCs w:val="22"/>
        </w:rPr>
        <w:t>VII. Sporządzanie i prowadzenie przez Wykonawcę dokumentacji związanej z realizacją przedmiotowego zamówienia zgodnie z zasadami realizacji specjalistycznych usług opiekuńczych dla osób z zaburzeniami psychicznymi w województwie mazowieckim pkt. 8, w szczególności:</w:t>
      </w:r>
    </w:p>
    <w:p>
      <w:pPr>
        <w:pStyle w:val="Normal"/>
        <w:numPr>
          <w:ilvl w:val="0"/>
          <w:numId w:val="46"/>
        </w:numPr>
        <w:tabs>
          <w:tab w:val="left" w:pos="510" w:leader="none"/>
          <w:tab w:val="left" w:pos="1305" w:leader="none"/>
        </w:tabs>
        <w:spacing w:lineRule="auto" w:line="240"/>
        <w:ind w:left="510" w:right="0" w:hanging="340"/>
        <w:jc w:val="both"/>
        <w:rPr>
          <w:rFonts w:ascii="Arial" w:hAnsi="Arial"/>
          <w:sz w:val="22"/>
          <w:szCs w:val="22"/>
        </w:rPr>
      </w:pPr>
      <w:r>
        <w:rPr>
          <w:rFonts w:ascii="Arial" w:hAnsi="Arial"/>
          <w:sz w:val="22"/>
          <w:szCs w:val="22"/>
        </w:rPr>
        <w:t>indywidualnych programów terapeutycznych dla każdego świadczeniobiorcy i przekazanie ich Zamawiającemu</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miesięcznych kart czasu pracy osoby świadczącej usług potwierdzonych przez świadczeniobiorcę</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indywidualnej karty podopiecznego, która zawierać powinna m. in. informację dotycząca oceny funkcjonowania społecznego i realizacji działań terapeutycznych, okresową ocenę efektów świadczonych usług</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miesięcznej oceny efektów działań terapeutycznych u każdego świadczeniobiorcy</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notatek z wizyt środowiskowych w domu klienta prowadzone przez osoby świadczące usługi</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harmonogramów pracy u poszczególnych klientów</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dziennych raportów z realizacji usług</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rozliczeń finansowych</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VIII. Sporządzania okresowej (półrocznej i rocznej) oceny efektów świadczonych usług indywidualnie dla każdego klienta objętego usługami (ewaluacja usług) i przekazania ich Zamawiającemu.</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IX. Sporządzania wraz z przedstawicielem MOPS kwartalnego sprawozdania z realizacji usług,</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 xml:space="preserve">X. Comiesięcznego sporządzania i przekazywania do MOPS w Gostyninie wraz z rachunkiem za zrealizowane godziny usług: </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 xml:space="preserve">imiennych wykazów świadczeniobiorców z wyszczególnieniem m.in. ilości godzin usług przyznanych decyzją administracyjną MOPS, ilością godzin zrealizowanych, kosztorysem wykonania zadania oraz określeniem osób świadczących usługi poszczególnym klientom </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miesięcznych ocen efektów działań terapeutycznych u każdego świadczeniobiorcy</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miesięcznych wykazów wizyt  środowiskowych</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harmonogramów pracy u poszczególnych klientów</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informacji o przyczynach niezrealizowania usług zgodnie z decyzją administracyjną u poszczególnych klientów</w:t>
      </w:r>
    </w:p>
    <w:p>
      <w:pPr>
        <w:pStyle w:val="Normal"/>
        <w:spacing w:lineRule="auto" w:line="240"/>
        <w:jc w:val="both"/>
        <w:rPr>
          <w:rFonts w:ascii="Arial" w:hAnsi="Arial"/>
          <w:bCs/>
          <w:sz w:val="22"/>
          <w:szCs w:val="22"/>
        </w:rPr>
      </w:pPr>
      <w:r>
        <w:rPr>
          <w:rFonts w:ascii="Arial" w:hAnsi="Arial"/>
          <w:bCs/>
          <w:sz w:val="22"/>
          <w:szCs w:val="22"/>
        </w:rPr>
      </w:r>
    </w:p>
    <w:p>
      <w:pPr>
        <w:pStyle w:val="Normal"/>
        <w:spacing w:lineRule="auto" w:line="240"/>
        <w:jc w:val="both"/>
        <w:rPr>
          <w:rFonts w:ascii="Arial" w:hAnsi="Arial"/>
          <w:bCs/>
          <w:sz w:val="22"/>
          <w:szCs w:val="22"/>
        </w:rPr>
      </w:pPr>
      <w:r>
        <w:rPr>
          <w:rFonts w:ascii="Arial" w:hAnsi="Arial"/>
          <w:bCs/>
          <w:sz w:val="22"/>
          <w:szCs w:val="22"/>
        </w:rPr>
        <w:t>XI. Zapewnienia klientom niezbędnej pomocy w sytuacjach nagłych, w szczególności takich jak:</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odniesienie poważnych obrażeń,</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ciężki stan zdrowia,</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zatrucia pokarmowe lub choroba zakaźna,</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zniszczenie domu w wyniku wandalizmu lub pożaru,</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kradzież na szkodę klienta,</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wypadki następujące podczas świadczenia usług.</w:t>
      </w:r>
    </w:p>
    <w:p>
      <w:pPr>
        <w:pStyle w:val="Normal"/>
        <w:spacing w:lineRule="auto" w:line="240"/>
        <w:jc w:val="both"/>
        <w:rPr>
          <w:rFonts w:ascii="Arial" w:hAnsi="Arial"/>
          <w:bCs/>
          <w:sz w:val="22"/>
          <w:szCs w:val="22"/>
        </w:rPr>
      </w:pPr>
      <w:r>
        <w:rPr>
          <w:rFonts w:ascii="Arial" w:hAnsi="Arial"/>
          <w:bCs/>
          <w:sz w:val="22"/>
          <w:szCs w:val="22"/>
        </w:rPr>
      </w:r>
    </w:p>
    <w:p>
      <w:pPr>
        <w:pStyle w:val="Normal"/>
        <w:spacing w:lineRule="auto" w:line="240"/>
        <w:jc w:val="both"/>
        <w:rPr>
          <w:rFonts w:ascii="Arial" w:hAnsi="Arial"/>
          <w:bCs/>
          <w:sz w:val="22"/>
          <w:szCs w:val="22"/>
        </w:rPr>
      </w:pPr>
      <w:r>
        <w:rPr>
          <w:rFonts w:ascii="Arial" w:hAnsi="Arial"/>
          <w:bCs/>
          <w:sz w:val="22"/>
          <w:szCs w:val="22"/>
        </w:rPr>
        <w:t>XII. Współpracy na bieżąco z pracownikami Zamawiającego. Przez współpracę rozumie się wymianę informacji dotyczącą realizacji przedmiotu zamówienia.</w:t>
      </w:r>
    </w:p>
    <w:p>
      <w:pPr>
        <w:pStyle w:val="Normal"/>
        <w:tabs>
          <w:tab w:val="left" w:pos="426" w:leader="none"/>
        </w:tabs>
        <w:suppressAutoHyphens w:val="true"/>
        <w:spacing w:lineRule="auto" w:line="240"/>
        <w:ind w:left="1" w:right="0" w:hanging="0"/>
        <w:jc w:val="both"/>
        <w:rPr>
          <w:rFonts w:ascii="Arial" w:hAnsi="Arial"/>
          <w:bCs/>
          <w:sz w:val="22"/>
          <w:szCs w:val="22"/>
        </w:rPr>
      </w:pPr>
      <w:r>
        <w:rPr>
          <w:rFonts w:ascii="Arial" w:hAnsi="Arial"/>
          <w:bCs/>
          <w:sz w:val="22"/>
          <w:szCs w:val="22"/>
        </w:rPr>
      </w:r>
    </w:p>
    <w:p>
      <w:pPr>
        <w:pStyle w:val="Normal"/>
        <w:tabs>
          <w:tab w:val="left" w:pos="426" w:leader="none"/>
        </w:tabs>
        <w:suppressAutoHyphens w:val="true"/>
        <w:spacing w:lineRule="auto" w:line="240"/>
        <w:ind w:left="1" w:right="0" w:hanging="0"/>
        <w:jc w:val="both"/>
        <w:rPr>
          <w:rFonts w:ascii="Arial" w:hAnsi="Arial"/>
          <w:sz w:val="22"/>
          <w:szCs w:val="22"/>
        </w:rPr>
      </w:pPr>
      <w:r>
        <w:rPr>
          <w:rFonts w:ascii="Arial" w:hAnsi="Arial"/>
          <w:sz w:val="22"/>
          <w:szCs w:val="22"/>
        </w:rPr>
        <w:t>XIII. Udostępnienia lub przekazania kserokopii dokumentów dotyczących realizacji usług, które są w posiadaniu Wykonawcy, na każde żądanie Zamawiającego.</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XIV. Stosowania się do innych zaleceń Zamawiającego niezbędnych dla prawidłowego realizowania umowy.</w:t>
      </w:r>
    </w:p>
    <w:p>
      <w:pPr>
        <w:pStyle w:val="Normal"/>
        <w:widowControl/>
        <w:tabs>
          <w:tab w:val="left" w:pos="706" w:leader="none"/>
        </w:tabs>
        <w:spacing w:lineRule="auto" w:line="240"/>
        <w:ind w:hanging="0"/>
        <w:jc w:val="both"/>
        <w:rPr>
          <w:rFonts w:cs="Arial"/>
          <w:sz w:val="22"/>
          <w:szCs w:val="22"/>
        </w:rPr>
      </w:pPr>
      <w:r>
        <w:rPr>
          <w:rFonts w:cs="Arial"/>
          <w:sz w:val="22"/>
          <w:szCs w:val="22"/>
        </w:rPr>
      </w:r>
    </w:p>
    <w:p>
      <w:pPr>
        <w:pStyle w:val="Normal"/>
        <w:spacing w:before="0" w:after="0"/>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contextualSpacing/>
        <w:rPr>
          <w:rFonts w:ascii="Arial" w:hAnsi="Arial" w:cs="Arial"/>
          <w:b/>
          <w:b/>
        </w:rPr>
      </w:pPr>
      <w:r>
        <w:rPr>
          <w:rFonts w:cs="Arial" w:ascii="Arial" w:hAnsi="Arial"/>
          <w:b/>
        </w:rPr>
        <w:t>85000000-9 - Usługi w zakresie zdrowia i opieki społecznej.</w:t>
      </w:r>
    </w:p>
    <w:p>
      <w:pPr>
        <w:pStyle w:val="Normal"/>
        <w:spacing w:before="0" w:after="200"/>
        <w:contextualSpacing/>
        <w:rPr>
          <w:rFonts w:ascii="Arial" w:hAnsi="Arial" w:cs="Arial"/>
          <w:b/>
          <w:b/>
        </w:rPr>
      </w:pPr>
      <w:r>
        <w:rPr>
          <w:rFonts w:cs="Arial" w:ascii="Arial" w:hAnsi="Arial"/>
          <w:b/>
        </w:rPr>
      </w:r>
    </w:p>
    <w:p>
      <w:pPr>
        <w:pStyle w:val="Normal"/>
        <w:tabs>
          <w:tab w:val="left" w:pos="426" w:leader="none"/>
        </w:tabs>
        <w:spacing w:before="0" w:after="0"/>
        <w:ind w:left="426" w:right="-13" w:hanging="426"/>
        <w:rPr>
          <w:rFonts w:ascii="Arial" w:hAnsi="Arial" w:eastAsia="Times New Roman" w:cs="Arial"/>
          <w:lang w:eastAsia="pl-PL"/>
        </w:rPr>
      </w:pPr>
      <w:r>
        <w:rPr>
          <w:rFonts w:eastAsia="Times New Roman" w:cs="Arial" w:ascii="Arial" w:hAnsi="Arial"/>
          <w:lang w:eastAsia="pl-PL"/>
        </w:rPr>
      </w:r>
    </w:p>
    <w:p>
      <w:pPr>
        <w:pStyle w:val="Normal"/>
        <w:numPr>
          <w:ilvl w:val="0"/>
          <w:numId w:val="47"/>
        </w:numPr>
        <w:spacing w:before="0" w:after="0"/>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47"/>
        </w:numPr>
        <w:spacing w:before="0" w:after="0"/>
        <w:jc w:val="both"/>
        <w:rPr>
          <w:rFonts w:ascii="Arial" w:hAnsi="Arial" w:eastAsia="Times New Roman" w:cs="Arial"/>
          <w:lang w:eastAsia="pl-PL"/>
        </w:rPr>
      </w:pPr>
      <w:r>
        <w:rPr>
          <w:rFonts w:eastAsia="Times New Roman" w:cs="Arial" w:ascii="Arial" w:hAnsi="Arial"/>
          <w:lang w:eastAsia="pl-PL"/>
        </w:rPr>
        <w:t>Zamawiający nie dopuszcza składania ofert wariantowych oraz w postaci katalogów elektronicznych.</w:t>
      </w:r>
    </w:p>
    <w:p>
      <w:pPr>
        <w:pStyle w:val="Normal"/>
        <w:numPr>
          <w:ilvl w:val="0"/>
          <w:numId w:val="47"/>
        </w:numPr>
        <w:spacing w:before="0" w:after="0"/>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 xml:space="preserve">Zamawiający przewiduje udzielania zamówień, </w:t>
      </w:r>
      <w:bookmarkStart w:id="1" w:name="_Hlk74645259"/>
      <w:bookmarkEnd w:id="1"/>
      <w:r>
        <w:rPr>
          <w:rFonts w:eastAsia="Times New Roman" w:cs="Arial" w:ascii="Arial" w:hAnsi="Arial"/>
          <w:color w:val="000000" w:themeColor="text1"/>
          <w:lang w:eastAsia="pl-PL"/>
        </w:rPr>
        <w:t>o których mowa w art. 214 ust. 1 pkt 7 PZP polegające na powtórzeniu usług opiekuńczych do wysokości 15 %  zamówienia podstawowego  (uzupełniające).</w:t>
      </w:r>
    </w:p>
    <w:p>
      <w:pPr>
        <w:pStyle w:val="Normal"/>
        <w:spacing w:before="0" w:after="0"/>
        <w:rPr>
          <w:rFonts w:ascii="Arial" w:hAnsi="Arial" w:eastAsia="Times New Roman" w:cs="Arial"/>
          <w:b/>
          <w:b/>
          <w:lang w:eastAsia="pl-PL"/>
        </w:rPr>
      </w:pPr>
      <w:r>
        <w:rPr>
          <w:rFonts w:eastAsia="Times New Roman" w:cs="Arial" w:ascii="Arial" w:hAnsi="Arial"/>
          <w:b/>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V.WIZJA LOKALNA</w:t>
      </w:r>
    </w:p>
    <w:p>
      <w:pPr>
        <w:pStyle w:val="Normal"/>
        <w:spacing w:before="0" w:after="0"/>
        <w:rPr>
          <w:rFonts w:ascii="Arial" w:hAnsi="Arial" w:eastAsia="Times New Roman" w:cs="Arial"/>
          <w:color w:val="000000" w:themeColor="text1"/>
          <w:lang w:eastAsia="pl-PL"/>
        </w:rPr>
      </w:pPr>
      <w:r>
        <w:rPr>
          <w:rFonts w:eastAsia="Times New Roman" w:cs="Arial" w:ascii="Arial" w:hAnsi="Arial"/>
          <w:color w:val="000000" w:themeColor="text1"/>
          <w:lang w:eastAsia="pl-PL"/>
        </w:rPr>
        <w:t>Zamawiający nie przewiduje przeprowadzania wizji lokalnej.</w:t>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t>VI.PODWYKONAWSTWO</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Wykonawca może powierzyć wykonanie części zamówienia podwykonawcy (podwykonawcom). </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zastrzega</w:t>
      </w:r>
      <w:r>
        <w:rPr>
          <w:rFonts w:eastAsia="Times New Roman" w:cs="Arial" w:ascii="Arial" w:hAnsi="Arial"/>
          <w:lang w:eastAsia="pl-PL"/>
        </w:rPr>
        <w:t xml:space="preserve"> obowiązku osobistego wykonania przez Wykonawcę kluczowych części zamówienia.</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suppressAutoHyphens w:val="true"/>
        <w:spacing w:before="0" w:after="0"/>
        <w:ind w:left="453" w:hanging="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val="en-US" w:eastAsia="pl-PL"/>
        </w:rPr>
        <w:t>VII.TERMIN WYKONANIA ZAMÓWIENIA</w:t>
      </w:r>
    </w:p>
    <w:p>
      <w:pPr>
        <w:pStyle w:val="Normal"/>
        <w:numPr>
          <w:ilvl w:val="0"/>
          <w:numId w:val="8"/>
        </w:numPr>
        <w:spacing w:before="0" w:after="0"/>
        <w:ind w:left="425" w:hanging="425"/>
        <w:jc w:val="both"/>
        <w:rPr/>
      </w:pPr>
      <w:r>
        <w:rPr>
          <w:rFonts w:eastAsia="Times New Roman" w:cs="Arial" w:ascii="Arial" w:hAnsi="Arial"/>
          <w:lang w:eastAsia="pl-PL"/>
        </w:rPr>
        <w:t xml:space="preserve">Termin realizacji zamówienia: usługa ciągła na okres 1 roku– </w:t>
      </w:r>
      <w:r>
        <w:rPr>
          <w:rFonts w:eastAsia="Times New Roman" w:cs="Arial" w:ascii="Arial" w:hAnsi="Arial"/>
          <w:b/>
          <w:bCs/>
          <w:lang w:eastAsia="pl-PL"/>
        </w:rPr>
        <w:t>od 01.01.2022r. do 31.12.2022r.</w:t>
      </w:r>
    </w:p>
    <w:p>
      <w:pPr>
        <w:pStyle w:val="Normal"/>
        <w:numPr>
          <w:ilvl w:val="0"/>
          <w:numId w:val="8"/>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Szczegółowe zagadnienia dotyczące terminu realizacji umowy uregulowane są we wzorze umowy stanowiącej </w:t>
      </w:r>
      <w:r>
        <w:rPr>
          <w:rFonts w:eastAsia="Times New Roman" w:cs="Arial" w:ascii="Arial" w:hAnsi="Arial"/>
          <w:b/>
          <w:bCs/>
          <w:lang w:eastAsia="pl-PL"/>
        </w:rPr>
        <w:t>załącznik nr 4 do SWZ</w:t>
      </w:r>
      <w:r>
        <w:rPr>
          <w:rFonts w:eastAsia="Times New Roman" w:cs="Arial" w:ascii="Arial" w:hAnsi="Arial"/>
          <w:lang w:eastAsia="pl-PL"/>
        </w:rPr>
        <w:t>.</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VIII.WARUNKI UDZIAŁU W POSTĘPOWANIU</w:t>
      </w:r>
    </w:p>
    <w:p>
      <w:pPr>
        <w:pStyle w:val="Normal"/>
        <w:numPr>
          <w:ilvl w:val="0"/>
          <w:numId w:val="2"/>
        </w:numPr>
        <w:spacing w:before="0" w:after="0"/>
        <w:ind w:left="426" w:right="20" w:hanging="426"/>
        <w:jc w:val="both"/>
        <w:rPr>
          <w:rFonts w:ascii="Arial" w:hAnsi="Arial" w:cs="Arial"/>
          <w:highlight w:val="white"/>
        </w:rPr>
      </w:pPr>
      <w:r>
        <w:rPr>
          <w:rFonts w:cs="Arial" w:ascii="Arial" w:hAnsi="Arial"/>
        </w:rPr>
        <w:t>O udzielenie zamówienia mogą ubiegać się Wykonawcy, którzy nie podlegają wykluczeniu na zasadach określonych w Rozdziale IX SWZ, oraz spełniają określone przez Zamawiającego warunki</w:t>
      </w:r>
      <w:r>
        <w:rPr>
          <w:rFonts w:cs="Arial" w:ascii="Arial" w:hAnsi="Arial"/>
          <w:b/>
          <w:bCs/>
          <w:shd w:fill="FFFFFF" w:val="clear"/>
        </w:rPr>
        <w:t xml:space="preserve"> </w:t>
      </w:r>
      <w:bookmarkStart w:id="2" w:name="bookmark3"/>
      <w:r>
        <w:rPr>
          <w:rFonts w:cs="Arial" w:ascii="Arial" w:hAnsi="Arial"/>
          <w:bCs/>
          <w:shd w:fill="FFFFFF" w:val="clear"/>
        </w:rPr>
        <w:t>udziału w postępowaniu.</w:t>
      </w:r>
    </w:p>
    <w:p>
      <w:pPr>
        <w:pStyle w:val="Normal"/>
        <w:numPr>
          <w:ilvl w:val="0"/>
          <w:numId w:val="2"/>
        </w:numPr>
        <w:spacing w:before="0" w:after="0"/>
        <w:ind w:left="426" w:right="20" w:hanging="426"/>
        <w:jc w:val="both"/>
        <w:rPr>
          <w:rFonts w:ascii="Arial" w:hAnsi="Arial" w:cs="Arial"/>
        </w:rPr>
      </w:pPr>
      <w:bookmarkEnd w:id="2"/>
      <w:r>
        <w:rPr>
          <w:rFonts w:cs="Arial" w:ascii="Arial" w:hAnsi="Arial"/>
        </w:rPr>
        <w:t>O udzielenie zamówienia mogą ubiegać się Wykonawcy, którzy spełniają warunki dotyczące:</w:t>
      </w:r>
    </w:p>
    <w:p>
      <w:pPr>
        <w:pStyle w:val="Normal"/>
        <w:numPr>
          <w:ilvl w:val="0"/>
          <w:numId w:val="7"/>
        </w:numPr>
        <w:spacing w:before="0" w:after="0"/>
        <w:ind w:left="852" w:right="20" w:hanging="426"/>
        <w:jc w:val="both"/>
        <w:rPr>
          <w:rFonts w:ascii="Arial" w:hAnsi="Arial" w:cs="Arial"/>
        </w:rPr>
      </w:pPr>
      <w:r>
        <w:rPr>
          <w:rFonts w:cs="Arial" w:ascii="Arial" w:hAnsi="Arial"/>
          <w:b/>
        </w:rPr>
        <w:t>zdolności do występowania w obrocie gospodarczym:</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b/>
          <w:b/>
        </w:rPr>
      </w:pPr>
      <w:r>
        <w:rPr>
          <w:rFonts w:cs="Arial" w:ascii="Arial" w:hAnsi="Arial"/>
          <w:b/>
        </w:rPr>
        <w:t>uprawnień do prowadzenia określonej działalności gospodarczej lub zawodowej, o ile wynika to z odrębnych przepisów:</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rPr>
      </w:pPr>
      <w:r>
        <w:rPr>
          <w:rFonts w:cs="Arial" w:ascii="Arial" w:hAnsi="Arial"/>
          <w:b/>
        </w:rPr>
        <w:t>sytuacji ekonomicznej lub finansowej:</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426" w:right="20" w:hanging="0"/>
        <w:jc w:val="both"/>
        <w:rPr>
          <w:rFonts w:ascii="Arial" w:hAnsi="Arial" w:cs="Arial"/>
        </w:rPr>
      </w:pPr>
      <w:r>
        <w:rPr>
          <w:rFonts w:cs="Arial" w:ascii="Arial" w:hAnsi="Arial"/>
          <w:b/>
        </w:rPr>
        <w:t xml:space="preserve">  </w:t>
      </w:r>
      <w:r>
        <w:rPr>
          <w:rFonts w:cs="Arial" w:ascii="Arial" w:hAnsi="Arial"/>
          <w:b/>
        </w:rPr>
        <w:t>zdolności technicznej:</w:t>
      </w:r>
    </w:p>
    <w:p>
      <w:pPr>
        <w:pStyle w:val="ListParagraph"/>
        <w:spacing w:before="0" w:after="0"/>
        <w:ind w:left="1004" w:right="20" w:hanging="153"/>
        <w:contextualSpacing/>
        <w:jc w:val="both"/>
        <w:rPr>
          <w:rFonts w:cs="Arial"/>
          <w:color w:val="00000A"/>
          <w:sz w:val="22"/>
          <w:szCs w:val="22"/>
        </w:rPr>
      </w:pPr>
      <w:r>
        <w:rPr>
          <w:rFonts w:cs="Arial"/>
          <w:color w:val="00000A"/>
          <w:sz w:val="22"/>
          <w:szCs w:val="22"/>
        </w:rPr>
        <w:t>Zamawiający nie stawia warunku w powyższym zakresie.</w:t>
      </w:r>
    </w:p>
    <w:p>
      <w:pPr>
        <w:pStyle w:val="Normal"/>
        <w:spacing w:before="0" w:after="0"/>
        <w:ind w:left="426" w:right="20" w:hanging="0"/>
        <w:jc w:val="both"/>
        <w:rPr>
          <w:rFonts w:ascii="Arial" w:hAnsi="Arial" w:cs="Arial"/>
        </w:rPr>
      </w:pPr>
      <w:r>
        <w:rPr>
          <w:rFonts w:cs="Arial" w:ascii="Arial" w:hAnsi="Arial"/>
        </w:rPr>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bCs/>
          <w:lang w:eastAsia="pl-PL"/>
        </w:rPr>
        <w:t>Zamawiający, w stosunku do Wykonawców wspólnie ubiegających się o udzielenie zamówienia, w odniesieniu do warunku dotyczącego zdolności technicznej lub zawodowej – dopuszcza łączne spełnianie warunku przez Wykonawców.</w:t>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bCs/>
          <w:lang w:eastAsia="pl-PL"/>
        </w:rPr>
      </w:pPr>
      <w:r>
        <w:rPr>
          <w:rFonts w:eastAsia="Times New Roman" w:cs="Arial" w:ascii="Arial" w:hAnsi="Arial"/>
          <w:b/>
          <w:lang w:eastAsia="pl-PL"/>
        </w:rPr>
        <w:t>IX.PODSTAWY WYKLUCZENIA Z POSTĘPOWANIA</w:t>
      </w:r>
    </w:p>
    <w:p>
      <w:pPr>
        <w:pStyle w:val="Normal"/>
        <w:numPr>
          <w:ilvl w:val="0"/>
          <w:numId w:val="3"/>
        </w:numPr>
        <w:spacing w:before="0" w:after="0"/>
        <w:ind w:left="426" w:hanging="426"/>
        <w:jc w:val="both"/>
        <w:rPr>
          <w:rFonts w:ascii="Arial" w:hAnsi="Arial" w:cs="Arial"/>
        </w:rPr>
      </w:pPr>
      <w:r>
        <w:rPr>
          <w:rFonts w:cs="Arial" w:ascii="Arial" w:hAnsi="Arial"/>
        </w:rPr>
        <w:t>Z postępowania o udzielenie zamówienia wyklucza się Wykonawców, w stosunku do których zachodzi którakolwiek z okoliczności wskazanych:</w:t>
      </w:r>
    </w:p>
    <w:p>
      <w:pPr>
        <w:pStyle w:val="Normal"/>
        <w:numPr>
          <w:ilvl w:val="0"/>
          <w:numId w:val="4"/>
        </w:numPr>
        <w:spacing w:before="0" w:after="0"/>
        <w:ind w:left="812" w:hanging="386"/>
        <w:jc w:val="both"/>
        <w:rPr>
          <w:rFonts w:ascii="Arial" w:hAnsi="Arial" w:cs="Arial"/>
        </w:rPr>
      </w:pPr>
      <w:r>
        <w:rPr>
          <w:rFonts w:cs="Arial" w:ascii="Arial" w:hAnsi="Arial"/>
        </w:rPr>
        <w:tab/>
        <w:t>w art. 108 ust. 1,2,3,4,5,6 p.z.p.;</w:t>
      </w:r>
    </w:p>
    <w:p>
      <w:pPr>
        <w:pStyle w:val="Normal"/>
        <w:numPr>
          <w:ilvl w:val="0"/>
          <w:numId w:val="4"/>
        </w:numPr>
        <w:spacing w:before="0" w:after="0"/>
        <w:ind w:left="812" w:hanging="386"/>
        <w:jc w:val="both"/>
        <w:rPr>
          <w:rFonts w:ascii="Arial" w:hAnsi="Arial" w:cs="Arial"/>
        </w:rPr>
      </w:pPr>
      <w:r>
        <w:rPr>
          <w:rFonts w:cs="Arial" w:ascii="Arial" w:hAnsi="Arial"/>
        </w:rPr>
        <w:tab/>
        <w:t>w art. 109 ust. 1 pkt. 1,4,5,7  tj.:</w:t>
      </w:r>
    </w:p>
    <w:p>
      <w:pPr>
        <w:pStyle w:val="Normal"/>
        <w:spacing w:before="0" w:after="0"/>
        <w:ind w:left="426" w:hanging="0"/>
        <w:jc w:val="both"/>
        <w:rPr>
          <w:rFonts w:ascii="Arial" w:hAnsi="Arial" w:eastAsia="Times New Roman" w:cs="Arial"/>
          <w:bCs/>
          <w:lang w:eastAsia="pl-PL"/>
        </w:rPr>
      </w:pPr>
      <w:r>
        <w:rPr>
          <w:rFonts w:eastAsia="Times New Roman" w:cs="Arial" w:ascii="Arial" w:hAnsi="Arial"/>
          <w:bCs/>
          <w:lang w:eastAsia="pl-PL"/>
        </w:rPr>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t>X.OŚWIADCZENIA I DOKUMENTY, JAKIE ZOBOWIĄZANI SĄ DOSTARCZYĆ WYKONAWCY W CELU POTWIERDZENIA SPEŁNIENIA WARUNKÓW UDZIAŁU W POSTĘPOWANIU ORAZ WYKAZANIA BRAKU PODSTAW WYKLUCZENIA (PODMIOTOWE ŚRODKI DOWODOWE)</w:t>
      </w:r>
    </w:p>
    <w:p>
      <w:pPr>
        <w:pStyle w:val="Normal"/>
        <w:numPr>
          <w:ilvl w:val="0"/>
          <w:numId w:val="5"/>
        </w:numPr>
        <w:spacing w:before="0" w:after="0"/>
        <w:ind w:left="284" w:hanging="426"/>
        <w:jc w:val="both"/>
        <w:rPr>
          <w:rFonts w:ascii="Arial" w:hAnsi="Arial" w:eastAsia="Times New Roman" w:cs="Arial"/>
          <w:lang w:eastAsia="pl-PL"/>
        </w:rPr>
      </w:pPr>
      <w:r>
        <w:rPr>
          <w:rFonts w:eastAsia="Times New Roman" w:cs="Arial" w:ascii="Arial" w:hAnsi="Arial"/>
          <w:lang w:eastAsia="pl-PL"/>
        </w:rPr>
        <w:t>Do oferty Wykonawca zobowiązany jest dołączyć:</w:t>
      </w:r>
    </w:p>
    <w:p>
      <w:pPr>
        <w:pStyle w:val="Normal"/>
        <w:numPr>
          <w:ilvl w:val="2"/>
          <w:numId w:val="2"/>
        </w:numPr>
        <w:spacing w:before="0" w:after="0"/>
        <w:ind w:left="426" w:hanging="426"/>
        <w:jc w:val="both"/>
        <w:rPr>
          <w:rFonts w:ascii="Arial" w:hAnsi="Arial" w:eastAsia="Times New Roman" w:cs="Arial"/>
          <w:lang w:eastAsia="pl-PL"/>
        </w:rPr>
      </w:pPr>
      <w:r>
        <w:rPr>
          <w:rFonts w:eastAsia="Times New Roman" w:cs="Arial" w:ascii="Arial" w:hAnsi="Arial"/>
          <w:lang w:eastAsia="pl-PL"/>
        </w:rPr>
        <w:t>Oświadczenia Wykonawcy aktualne na dzień składania ofert:</w:t>
      </w:r>
    </w:p>
    <w:p>
      <w:pPr>
        <w:pStyle w:val="Normal"/>
        <w:numPr>
          <w:ilvl w:val="1"/>
          <w:numId w:val="3"/>
        </w:numPr>
        <w:spacing w:before="0" w:after="0"/>
        <w:ind w:left="567" w:hanging="141"/>
        <w:jc w:val="both"/>
        <w:rPr>
          <w:rFonts w:ascii="Arial" w:hAnsi="Arial" w:eastAsia="Times New Roman" w:cs="Arial"/>
          <w:lang w:eastAsia="pl-PL"/>
        </w:rPr>
      </w:pPr>
      <w:r>
        <w:rPr>
          <w:rFonts w:eastAsia="Times New Roman" w:cs="Arial" w:ascii="Arial" w:hAnsi="Arial"/>
          <w:lang w:eastAsia="pl-PL"/>
        </w:rPr>
        <w:t xml:space="preserve">o niepodleganiu wykluczeniu z postępowania </w:t>
      </w:r>
      <w:r>
        <w:rPr>
          <w:rFonts w:eastAsia="Times New Roman" w:cs="Arial" w:ascii="Arial" w:hAnsi="Arial"/>
          <w:b/>
          <w:bCs/>
          <w:lang w:eastAsia="pl-PL"/>
        </w:rPr>
        <w:t>(zał.nr 2 do SWZ),</w:t>
      </w:r>
    </w:p>
    <w:p>
      <w:pPr>
        <w:pStyle w:val="Normal"/>
        <w:numPr>
          <w:ilvl w:val="1"/>
          <w:numId w:val="3"/>
        </w:numPr>
        <w:spacing w:before="0" w:after="0"/>
        <w:ind w:left="709" w:hanging="283"/>
        <w:jc w:val="both"/>
        <w:rPr>
          <w:rFonts w:ascii="Arial" w:hAnsi="Arial" w:eastAsia="Times New Roman" w:cs="Arial"/>
          <w:lang w:eastAsia="pl-PL"/>
        </w:rPr>
      </w:pPr>
      <w:r>
        <w:rPr>
          <w:rFonts w:eastAsia="Times New Roman" w:cs="Arial" w:ascii="Arial" w:hAnsi="Arial"/>
          <w:lang w:eastAsia="pl-PL"/>
        </w:rPr>
        <w:t xml:space="preserve">o spełnieniu warunków w postępowaniu </w:t>
      </w:r>
      <w:r>
        <w:rPr>
          <w:rFonts w:eastAsia="Times New Roman" w:cs="Arial" w:ascii="Arial" w:hAnsi="Arial"/>
          <w:b/>
          <w:bCs/>
          <w:lang w:eastAsia="pl-PL"/>
        </w:rPr>
        <w:t>(zał. nr 2 do SWZ).</w:t>
      </w:r>
    </w:p>
    <w:p>
      <w:pPr>
        <w:pStyle w:val="Normal"/>
        <w:spacing w:before="0" w:after="0"/>
        <w:ind w:left="426" w:hanging="426"/>
        <w:jc w:val="both"/>
        <w:rPr>
          <w:rFonts w:ascii="Arial" w:hAnsi="Arial" w:eastAsia="Times New Roman" w:cs="Arial"/>
          <w:lang w:eastAsia="pl-PL"/>
        </w:rPr>
      </w:pPr>
      <w:r>
        <w:rPr>
          <w:rFonts w:eastAsia="Times New Roman" w:cs="Arial" w:ascii="Arial" w:hAnsi="Arial"/>
          <w:lang w:eastAsia="pl-PL"/>
        </w:rPr>
        <w:t>2. Informacje zawarte w oświadczeniu, o którym mowa w pkt 1 stanowią  potwierdzenie, że Wykonawca nie podlega wykluczeniu oraz spełnia warunki udziału w postępowaniu.</w:t>
      </w:r>
    </w:p>
    <w:p>
      <w:pPr>
        <w:pStyle w:val="Normal"/>
        <w:numPr>
          <w:ilvl w:val="0"/>
          <w:numId w:val="3"/>
        </w:numPr>
        <w:tabs>
          <w:tab w:val="left" w:pos="426" w:leader="none"/>
        </w:tabs>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wzywa Wykonawcę</w:t>
      </w:r>
      <w:r>
        <w:rPr>
          <w:rFonts w:eastAsia="Times New Roman" w:cs="Arial" w:ascii="Arial" w:hAnsi="Arial"/>
          <w:lang w:eastAsia="pl-PL"/>
        </w:rPr>
        <w:t xml:space="preserve">, </w:t>
      </w:r>
      <w:r>
        <w:rPr>
          <w:rFonts w:eastAsia="Times New Roman" w:cs="Arial" w:ascii="Arial" w:hAnsi="Arial"/>
          <w:b/>
          <w:lang w:eastAsia="pl-PL"/>
        </w:rPr>
        <w:t>którego oferta została najwyżej oceniona</w:t>
      </w:r>
      <w:r>
        <w:rPr>
          <w:rFonts w:eastAsia="Times New Roman" w:cs="Arial" w:ascii="Arial" w:hAnsi="Arial"/>
          <w:lang w:eastAsia="pl-PL"/>
        </w:rPr>
        <w:t xml:space="preserve">, do złożenia w wyznaczonym terminie, </w:t>
      </w:r>
      <w:r>
        <w:rPr>
          <w:rFonts w:eastAsia="Times New Roman" w:cs="Arial" w:ascii="Arial" w:hAnsi="Arial"/>
          <w:b/>
          <w:lang w:eastAsia="pl-PL"/>
        </w:rPr>
        <w:t>nie krótszym niż 5 dni</w:t>
      </w:r>
      <w:r>
        <w:rPr>
          <w:rFonts w:eastAsia="Times New Roman" w:cs="Arial" w:ascii="Arial" w:hAnsi="Arial"/>
          <w:lang w:eastAsia="pl-PL"/>
        </w:rPr>
        <w:t xml:space="preserve"> od dnia wezwania, podmiotowych środków dowodowych, jeżeli wymagał ich złożenia w ogłoszeniu o zamówieniu lub dokumentach zamówienia, aktualnych na dzień złożenia podmiotowych środków dowodowych.</w:t>
      </w:r>
    </w:p>
    <w:p>
      <w:pPr>
        <w:pStyle w:val="Normal"/>
        <w:numPr>
          <w:ilvl w:val="0"/>
          <w:numId w:val="3"/>
        </w:numPr>
        <w:tabs>
          <w:tab w:val="left" w:pos="426" w:leader="none"/>
        </w:tabs>
        <w:spacing w:before="0" w:after="0"/>
        <w:ind w:left="1009" w:hanging="1009"/>
        <w:jc w:val="both"/>
        <w:rPr>
          <w:rFonts w:ascii="Arial" w:hAnsi="Arial" w:eastAsia="Times New Roman" w:cs="Arial"/>
          <w:lang w:eastAsia="pl-PL"/>
        </w:rPr>
      </w:pPr>
      <w:r>
        <w:rPr>
          <w:rFonts w:eastAsia="Times New Roman" w:cs="Arial" w:ascii="Arial" w:hAnsi="Arial"/>
          <w:lang w:eastAsia="pl-PL"/>
        </w:rPr>
        <w:t>Podmiotowe środki dowodowe wymagane od wykonawcy obejmują:</w:t>
      </w:r>
    </w:p>
    <w:p>
      <w:pPr>
        <w:pStyle w:val="Normal"/>
        <w:numPr>
          <w:ilvl w:val="0"/>
          <w:numId w:val="22"/>
        </w:numPr>
        <w:spacing w:before="0" w:after="0"/>
        <w:ind w:left="709" w:hanging="283"/>
        <w:jc w:val="both"/>
        <w:rPr>
          <w:rFonts w:ascii="Arial" w:hAnsi="Arial" w:eastAsia="Times New Roman" w:cs="Arial"/>
          <w:lang w:eastAsia="pl-PL"/>
        </w:rPr>
      </w:pPr>
      <w:r>
        <w:rPr>
          <w:rFonts w:eastAsia="Times New Roman" w:cs="Arial" w:ascii="Arial" w:hAnsi="Arial"/>
          <w:lang w:eastAsia="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ascii="Arial" w:hAnsi="Arial"/>
          <w:b/>
          <w:bCs/>
          <w:lang w:eastAsia="pl-PL"/>
        </w:rPr>
        <w:t>załącznik nr 5 do SWZ</w:t>
      </w:r>
      <w:r>
        <w:rPr>
          <w:rFonts w:eastAsia="Times New Roman" w:cs="Arial" w:ascii="Arial" w:hAnsi="Arial"/>
          <w:lang w:eastAsia="pl-PL"/>
        </w:rPr>
        <w:t>;</w:t>
      </w:r>
    </w:p>
    <w:p>
      <w:pPr>
        <w:pStyle w:val="Normal"/>
        <w:numPr>
          <w:ilvl w:val="0"/>
          <w:numId w:val="22"/>
        </w:numPr>
        <w:spacing w:before="0" w:after="0"/>
        <w:ind w:left="709" w:hanging="283"/>
        <w:jc w:val="both"/>
        <w:rPr>
          <w:rFonts w:ascii="Arial" w:hAnsi="Arial" w:eastAsia="Times New Roman" w:cs="Arial"/>
          <w:lang w:eastAsia="pl-PL"/>
        </w:rPr>
      </w:pPr>
      <w:r>
        <w:rPr>
          <w:rFonts w:eastAsia="Times New Roman" w:cs="Arial" w:ascii="Arial" w:hAnsi="Arial"/>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Normal"/>
        <w:numPr>
          <w:ilvl w:val="0"/>
          <w:numId w:val="22"/>
        </w:numPr>
        <w:spacing w:before="0" w:after="0"/>
        <w:ind w:left="434" w:hanging="434"/>
        <w:jc w:val="both"/>
        <w:rPr/>
      </w:pPr>
      <w:r>
        <w:rPr>
          <w:rFonts w:eastAsia="Times New Roman" w:cs="Arial" w:ascii="Arial" w:hAnsi="Arial"/>
          <w:lang w:eastAsia="pl-PL"/>
        </w:rPr>
        <w:t>Jeżeli Wykonawca ma siedzibę lub miejsce zamieszkania poza terytorium Rzeczypospolitej Polskiej, zamiast dokumentu, o których mowa w ust</w:t>
      </w:r>
      <w:r>
        <w:rPr>
          <w:rFonts w:eastAsia="Times New Roman" w:cs="Arial" w:ascii="Arial" w:hAnsi="Arial"/>
          <w:color w:val="FF0000"/>
          <w:lang w:eastAsia="pl-PL"/>
        </w:rPr>
        <w:t xml:space="preserve">. </w:t>
      </w:r>
      <w:r>
        <w:rPr>
          <w:rFonts w:eastAsia="Times New Roman" w:cs="Arial" w:ascii="Arial" w:hAnsi="Arial"/>
          <w:color w:val="000000"/>
          <w:lang w:eastAsia="pl-PL"/>
        </w:rPr>
        <w:t>3</w:t>
      </w:r>
      <w:r>
        <w:rPr>
          <w:rFonts w:eastAsia="Times New Roman" w:cs="Arial" w:ascii="Arial" w:hAnsi="Arial"/>
          <w:color w:val="000000" w:themeColor="text1"/>
          <w:lang w:eastAsia="pl-PL"/>
        </w:rPr>
        <w:t xml:space="preserve"> pkt.2 </w:t>
      </w:r>
      <w:r>
        <w:rPr>
          <w:rFonts w:eastAsia="Times New Roman" w:cs="Arial" w:ascii="Arial" w:hAnsi="Arial"/>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jego złożeniem.</w:t>
      </w:r>
    </w:p>
    <w:p>
      <w:pPr>
        <w:pStyle w:val="Normal"/>
        <w:numPr>
          <w:ilvl w:val="0"/>
          <w:numId w:val="22"/>
        </w:numPr>
        <w:spacing w:before="0" w:after="0"/>
        <w:ind w:left="434" w:hanging="434"/>
        <w:jc w:val="both"/>
        <w:rPr/>
      </w:pPr>
      <w:r>
        <w:rPr>
          <w:rFonts w:eastAsia="Times New Roman" w:cs="Arial" w:ascii="Arial" w:hAnsi="Arial"/>
          <w:lang w:eastAsia="pl-PL"/>
        </w:rPr>
        <w:t>Jeżeli w kraju, w którym Wykonawca ma siedzibę lub miejsce zamieszkania, nie wydaje się dokumentów, o których mowa w ust.3 pkt.2),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pPr>
        <w:pStyle w:val="Normal"/>
        <w:numPr>
          <w:ilvl w:val="0"/>
          <w:numId w:val="3"/>
        </w:numPr>
        <w:tabs>
          <w:tab w:val="left" w:pos="426" w:leader="none"/>
        </w:tabs>
        <w:spacing w:before="0" w:after="0"/>
        <w:ind w:left="426" w:hanging="426"/>
        <w:jc w:val="both"/>
        <w:rPr>
          <w:rFonts w:ascii="Arial" w:hAnsi="Arial" w:eastAsia="Times New Roman" w:cs="Arial"/>
          <w:b/>
          <w:b/>
          <w:lang w:eastAsia="pl-PL"/>
        </w:rPr>
      </w:pPr>
      <w:r>
        <w:rPr>
          <w:rFonts w:eastAsia="Times New Roman" w:cs="Arial" w:ascii="Arial" w:hAnsi="Arial"/>
          <w:b/>
          <w:lang w:eastAsia="pl-PL"/>
        </w:rPr>
        <w:t>Zamawiający nie wzywa do złożenia podmiotowych środków dowodowych, jeżeli:</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1)</w:t>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2)</w:t>
        <w:tab/>
        <w:t>podmiotowym środkiem dowodowym jest oświadczenie, którego treść odpowiada zakresowi oświadczenia, o którym mowa w art. 125 ust. 1.</w:t>
      </w:r>
    </w:p>
    <w:p>
      <w:pPr>
        <w:pStyle w:val="Normal"/>
        <w:spacing w:before="0" w:after="0"/>
        <w:ind w:left="434" w:hanging="434"/>
        <w:jc w:val="both"/>
        <w:rPr>
          <w:rFonts w:ascii="Arial" w:hAnsi="Arial" w:eastAsia="Times New Roman" w:cs="Arial"/>
          <w:lang w:eastAsia="pl-PL"/>
        </w:rPr>
      </w:pPr>
      <w:r>
        <w:rPr>
          <w:rFonts w:eastAsia="Times New Roman" w:cs="Arial" w:ascii="Arial" w:hAnsi="Arial"/>
          <w:b/>
          <w:lang w:eastAsia="pl-PL"/>
        </w:rPr>
        <w:t>6.</w:t>
        <w:tab/>
      </w:r>
      <w:r>
        <w:rPr>
          <w:rFonts w:eastAsia="Times New Roman" w:cs="Arial" w:ascii="Arial" w:hAnsi="Arial"/>
          <w:lang w:eastAsia="pl-PL"/>
        </w:rPr>
        <w:t>Wykonawca nie jest zobowiązany do złożenia podmiotowych środków dowodowych, które zamawiający posiada, jeżeli wykonawca wskaże te środki oraz potwierdzi ich prawidłowość i aktualność.</w:t>
      </w:r>
    </w:p>
    <w:p>
      <w:pPr>
        <w:pStyle w:val="Normal"/>
        <w:spacing w:before="0" w:after="0"/>
        <w:jc w:val="both"/>
        <w:rPr>
          <w:rFonts w:ascii="Arial" w:hAnsi="Arial" w:cs="Arial"/>
          <w:color w:val="000000"/>
        </w:rPr>
      </w:pPr>
      <w:r>
        <w:rPr>
          <w:rFonts w:cs="Arial" w:ascii="Arial" w:hAnsi="Arial"/>
          <w:color w:val="000000"/>
        </w:rPr>
      </w:r>
    </w:p>
    <w:p>
      <w:pPr>
        <w:pStyle w:val="Normal"/>
        <w:spacing w:before="0" w:after="0"/>
        <w:ind w:left="434" w:hanging="434"/>
        <w:jc w:val="both"/>
        <w:rPr>
          <w:rFonts w:ascii="Arial" w:hAnsi="Arial" w:eastAsia="Times New Roman" w:cs="Arial"/>
          <w:b/>
          <w:b/>
          <w:lang w:eastAsia="pl-PL"/>
        </w:rPr>
      </w:pPr>
      <w:r>
        <w:rPr>
          <w:rFonts w:eastAsia="Times New Roman" w:cs="Arial" w:ascii="Arial" w:hAnsi="Arial"/>
          <w:b/>
          <w:lang w:eastAsia="pl-PL"/>
        </w:rPr>
        <w:t>XI.POLEGANIE NA ZASOBACH INNYCH PODMIOTÓW</w:t>
      </w:r>
    </w:p>
    <w:p>
      <w:pPr>
        <w:pStyle w:val="Normal"/>
        <w:numPr>
          <w:ilvl w:val="3"/>
          <w:numId w:val="3"/>
        </w:numPr>
        <w:spacing w:before="0" w:after="0"/>
        <w:ind w:left="426" w:right="20" w:hanging="426"/>
        <w:jc w:val="both"/>
        <w:rPr>
          <w:rFonts w:ascii="Arial" w:hAnsi="Arial" w:cs="Arial"/>
        </w:rPr>
      </w:pPr>
      <w:r>
        <w:rPr>
          <w:rFonts w:cs="Arial" w:ascii="Arial" w:hAnsi="Arial"/>
        </w:rPr>
        <w:t>Wykonawca może w celu potwierdzenia spełniania warunków udziału w polegać na zdolnościach technicznych lub zawodowych podmiotów udostępniających zasoby, niezależnie od charakteru prawnego łączących go z nimi stosunków prawnych.</w:t>
      </w:r>
    </w:p>
    <w:p>
      <w:pPr>
        <w:pStyle w:val="Normal"/>
        <w:numPr>
          <w:ilvl w:val="3"/>
          <w:numId w:val="3"/>
        </w:numPr>
        <w:spacing w:before="0" w:after="0"/>
        <w:ind w:left="426" w:right="20" w:hanging="426"/>
        <w:jc w:val="both"/>
        <w:rPr>
          <w:rFonts w:ascii="Arial" w:hAnsi="Arial" w:cs="Arial"/>
        </w:rPr>
      </w:pPr>
      <w:r>
        <w:rPr>
          <w:rFonts w:cs="Arial" w:ascii="Arial" w:hAnsi="Arial"/>
        </w:rPr>
        <w:t>W odniesieniu do warunków dotyczących doświadczenia, wykonawcy mogą polegać na zdolnościach podmiotów udostępniających zasoby, jeśli podmioty te wykonają świadczenie do realizacji którego te zdolności są wymagane.</w:t>
      </w:r>
    </w:p>
    <w:p>
      <w:pPr>
        <w:pStyle w:val="Normal"/>
        <w:numPr>
          <w:ilvl w:val="3"/>
          <w:numId w:val="3"/>
        </w:numPr>
        <w:spacing w:before="0" w:after="0"/>
        <w:ind w:left="426" w:right="20" w:hanging="426"/>
        <w:jc w:val="both"/>
        <w:rPr>
          <w:rFonts w:ascii="Arial" w:hAnsi="Arial" w:cs="Arial"/>
        </w:rPr>
      </w:pPr>
      <w:r>
        <w:rPr>
          <w:rFonts w:cs="Arial" w:ascii="Arial" w:hAnsi="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Arial" w:ascii="Arial" w:hAnsi="Arial"/>
          <w:b/>
          <w:bCs/>
        </w:rPr>
        <w:t>załącznik nr 2</w:t>
      </w:r>
      <w:r>
        <w:rPr>
          <w:rFonts w:cs="Arial" w:ascii="Arial" w:hAnsi="Arial"/>
          <w:bCs/>
          <w:color w:val="000000" w:themeColor="text1"/>
        </w:rPr>
        <w:t xml:space="preserve"> do SWZ.</w:t>
      </w:r>
    </w:p>
    <w:p>
      <w:pPr>
        <w:pStyle w:val="Normal"/>
        <w:numPr>
          <w:ilvl w:val="3"/>
          <w:numId w:val="3"/>
        </w:numPr>
        <w:spacing w:before="0" w:after="0"/>
        <w:ind w:left="426" w:right="20" w:hanging="426"/>
        <w:jc w:val="both"/>
        <w:rPr>
          <w:rFonts w:ascii="Arial" w:hAnsi="Arial" w:cs="Arial"/>
        </w:rPr>
      </w:pPr>
      <w:r>
        <w:rPr>
          <w:rFonts w:cs="Arial" w:ascii="Arial" w:hAnsi="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Normal"/>
        <w:numPr>
          <w:ilvl w:val="3"/>
          <w:numId w:val="3"/>
        </w:numPr>
        <w:spacing w:before="0" w:after="0"/>
        <w:ind w:left="426" w:right="20" w:hanging="426"/>
        <w:jc w:val="both"/>
        <w:rPr>
          <w:rFonts w:ascii="Arial" w:hAnsi="Arial" w:cs="Arial"/>
        </w:rPr>
      </w:pPr>
      <w:r>
        <w:rPr>
          <w:rFonts w:cs="Arial"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Normal"/>
        <w:numPr>
          <w:ilvl w:val="3"/>
          <w:numId w:val="3"/>
        </w:numPr>
        <w:spacing w:before="0" w:after="0"/>
        <w:ind w:left="426" w:right="20" w:hanging="426"/>
        <w:jc w:val="both"/>
        <w:rPr>
          <w:rFonts w:ascii="Arial" w:hAnsi="Arial" w:cs="Arial"/>
        </w:rPr>
      </w:pPr>
      <w:r>
        <w:rPr>
          <w:rFonts w:cs="Arial" w:ascii="Arial" w:hAnsi="Arial"/>
          <w:b/>
        </w:rPr>
        <w:t xml:space="preserve">UWAGA: </w:t>
      </w:r>
      <w:r>
        <w:rPr>
          <w:rFonts w:cs="Arial" w:ascii="Arial" w:hAnsi="Arial"/>
        </w:rPr>
        <w:t xml:space="preserve">Wykonawca nie może, po upływie terminu składania ofert, powoływać się na zdolności lub sytuację podmiotów udostępniających zasoby, </w:t>
      </w:r>
      <w:r>
        <w:rPr>
          <w:rFonts w:cs="Arial" w:ascii="Arial" w:hAnsi="Arial"/>
          <w:b/>
          <w:u w:val="single"/>
        </w:rPr>
        <w:t>jeżeli na etapie składania ofert nie polegał on w danym zakresie na zdolnościach lub sytuacji podmiotów udostępniających zasoby.</w:t>
      </w:r>
    </w:p>
    <w:p>
      <w:pPr>
        <w:pStyle w:val="Normal"/>
        <w:numPr>
          <w:ilvl w:val="3"/>
          <w:numId w:val="3"/>
        </w:numPr>
        <w:shd w:val="clear" w:color="auto" w:fill="FFFFFF"/>
        <w:spacing w:before="0" w:after="0"/>
        <w:ind w:left="426" w:hanging="426"/>
        <w:jc w:val="both"/>
        <w:rPr>
          <w:rFonts w:ascii="Arial" w:hAnsi="Arial" w:cs="Arial"/>
        </w:rPr>
      </w:pPr>
      <w:r>
        <w:rPr>
          <w:rFonts w:cs="Arial" w:ascii="Arial" w:hAnsi="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pPr>
        <w:pStyle w:val="Normal"/>
        <w:shd w:val="clear" w:color="auto" w:fill="FFFFFF"/>
        <w:spacing w:before="0" w:after="0"/>
        <w:ind w:left="426" w:hanging="0"/>
        <w:jc w:val="both"/>
        <w:rPr>
          <w:rFonts w:ascii="Arial" w:hAnsi="Arial" w:cs="Arial"/>
        </w:rPr>
      </w:pPr>
      <w:r>
        <w:rPr>
          <w:rFonts w:cs="Arial" w:ascii="Arial" w:hAnsi="Arial"/>
        </w:rPr>
      </w:r>
    </w:p>
    <w:p>
      <w:pPr>
        <w:pStyle w:val="Normal"/>
        <w:shd w:val="clear" w:color="auto" w:fill="FFFFFF"/>
        <w:spacing w:before="0" w:after="0"/>
        <w:jc w:val="both"/>
        <w:rPr>
          <w:rFonts w:ascii="Arial" w:hAnsi="Arial" w:cs="Arial"/>
          <w:b/>
          <w:b/>
        </w:rPr>
      </w:pPr>
      <w:r>
        <w:rPr>
          <w:rFonts w:cs="Arial" w:ascii="Arial" w:hAnsi="Arial"/>
          <w:b/>
        </w:rPr>
        <w:t>XII.INFORMACJA DLA WYKONAWCÓW WSPÓLNIE UBIEGAJĄCYCH SIĘ O UDZIELENIE ZAMÓWIENIA(SPÓŁKI CYWILNE/KONSORCJA)</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Arial" w:ascii="Arial" w:hAnsi="Arial"/>
          <w:b/>
          <w:lang w:eastAsia="pl-PL"/>
        </w:rPr>
        <w:t xml:space="preserve"> </w:t>
      </w:r>
      <w:r>
        <w:rPr>
          <w:rFonts w:eastAsia="Times New Roman" w:cs="Arial" w:ascii="Arial" w:hAnsi="Arial"/>
          <w:lang w:eastAsia="pl-PL"/>
        </w:rPr>
        <w:t xml:space="preserve">winno być załączone do oferty. </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wspólnie ubiegający się o udzielenie zamówienia dołączają do oferty oświadczenie, z którego wynika, które usługi wykonają poszczególni Wykonawcy.</w:t>
      </w:r>
    </w:p>
    <w:p>
      <w:pPr>
        <w:pStyle w:val="Normal"/>
        <w:numPr>
          <w:ilvl w:val="0"/>
          <w:numId w:val="15"/>
        </w:numPr>
        <w:spacing w:before="0" w:after="0"/>
        <w:ind w:left="426" w:hanging="426"/>
        <w:contextualSpacing/>
        <w:jc w:val="both"/>
        <w:rPr>
          <w:rFonts w:ascii="Arial" w:hAnsi="Arial" w:eastAsia="Times New Roman" w:cs="Arial"/>
          <w:lang w:eastAsia="pl-PL"/>
        </w:rPr>
      </w:pPr>
      <w:bookmarkStart w:id="3" w:name="bookmark11"/>
      <w:r>
        <w:rPr>
          <w:rFonts w:eastAsia="Times New Roman" w:cs="Arial" w:ascii="Arial" w:hAnsi="Arial"/>
          <w:lang w:eastAsia="pl-PL"/>
        </w:rPr>
        <w:t>Oświadczenia i dokumenty potwierdzające brak podstaw do wykluczenia z postępowania składa każdy z Wykonawców wspólnie ubiegających się o zamówienie.</w:t>
      </w:r>
    </w:p>
    <w:p>
      <w:pPr>
        <w:pStyle w:val="Normal"/>
        <w:spacing w:before="0" w:after="0"/>
        <w:ind w:left="426" w:hanging="0"/>
        <w:contextualSpacing/>
        <w:jc w:val="both"/>
        <w:rPr>
          <w:rFonts w:ascii="Arial" w:hAnsi="Arial" w:eastAsia="Times New Roman" w:cs="Arial"/>
          <w:lang w:eastAsia="pl-PL"/>
        </w:rPr>
      </w:pPr>
      <w:r>
        <w:rPr>
          <w:rFonts w:eastAsia="Times New Roman" w:cs="Arial" w:ascii="Arial" w:hAnsi="Arial"/>
          <w:lang w:eastAsia="pl-PL"/>
        </w:rPr>
      </w:r>
    </w:p>
    <w:p>
      <w:pPr>
        <w:pStyle w:val="Normal"/>
        <w:spacing w:before="0" w:after="0"/>
        <w:contextualSpacing/>
        <w:jc w:val="both"/>
        <w:rPr/>
      </w:pPr>
      <w:r>
        <w:rPr>
          <w:rFonts w:eastAsia="Times New Roman" w:cs="Arial" w:ascii="Arial" w:hAnsi="Arial"/>
          <w:b/>
          <w:lang w:eastAsia="pl-PL"/>
        </w:rPr>
        <w:t xml:space="preserve">XIII. INFORMACJA O ŚRODKACH KOMUNIKACJI ELEKTRONICZNEJ, PRZY UZYCIU KTÓRYCH ZAMAWIAJĄCY BĘDZIE KOMUNIKOWAŁ SIĘ Z WYKONAWCAMI ORAZ INFORMACJE O WYMAGANIACH TECHNICZNYCH I ORGANIZACYJNYCH SPORZĄDZANIA, WYSYŁANIA I ODBIERANIA KORESPONDENCJI ELEKTRONICZNEJ  </w:t>
      </w:r>
    </w:p>
    <w:p>
      <w:pPr>
        <w:pStyle w:val="Normal"/>
        <w:numPr>
          <w:ilvl w:val="6"/>
          <w:numId w:val="23"/>
        </w:numPr>
        <w:spacing w:before="0" w:after="0"/>
        <w:ind w:left="284" w:right="91" w:hanging="284"/>
        <w:jc w:val="both"/>
        <w:rPr>
          <w:rFonts w:ascii="Arial" w:hAnsi="Arial" w:cs="Arial"/>
          <w:color w:val="000000"/>
        </w:rPr>
      </w:pPr>
      <w:r>
        <w:rPr>
          <w:rFonts w:eastAsia="Times New Roman" w:cs="Arial" w:ascii="Arial" w:hAnsi="Arial"/>
          <w:bCs/>
          <w:lang w:eastAsia="pl-PL"/>
        </w:rPr>
        <w:t xml:space="preserve">Komunikacja w postępowaniu o udzielenie zamówienia, w tym składanie ofert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W postępowaniu o udzielenie zamówienia komunikacja między Zamawiającym a Wykonawcami odbywa się drogą elektroniczną przy użyciu:</w:t>
      </w:r>
    </w:p>
    <w:p>
      <w:pPr>
        <w:pStyle w:val="Normal"/>
        <w:numPr>
          <w:ilvl w:val="0"/>
          <w:numId w:val="24"/>
        </w:numPr>
        <w:spacing w:before="0" w:after="0"/>
        <w:jc w:val="both"/>
        <w:rPr/>
      </w:pPr>
      <w:r>
        <w:rPr>
          <w:rFonts w:cs="Arial" w:ascii="Arial" w:hAnsi="Arial"/>
          <w:color w:val="000000"/>
        </w:rPr>
        <w:t xml:space="preserve">miniPortalu </w:t>
      </w:r>
      <w:hyperlink r:id="rId3">
        <w:r>
          <w:rPr>
            <w:rStyle w:val="Czeinternetowe"/>
            <w:rFonts w:cs="Arial" w:ascii="Arial" w:hAnsi="Arial"/>
            <w:color w:val="0000FF" w:themeColor="hyperlink"/>
            <w:u w:val="single"/>
          </w:rPr>
          <w:t>https://miniportal.uzp.gov.pl/</w:t>
        </w:r>
      </w:hyperlink>
    </w:p>
    <w:p>
      <w:pPr>
        <w:pStyle w:val="Normal"/>
        <w:numPr>
          <w:ilvl w:val="0"/>
          <w:numId w:val="24"/>
        </w:numPr>
        <w:spacing w:before="0" w:after="0"/>
        <w:jc w:val="both"/>
        <w:rPr/>
      </w:pPr>
      <w:r>
        <w:rPr>
          <w:rFonts w:cs="Arial" w:ascii="Arial" w:hAnsi="Arial"/>
          <w:color w:val="000000"/>
        </w:rPr>
        <w:t xml:space="preserve">ePUAPu    ePuap: </w:t>
      </w:r>
      <w:r>
        <w:rPr>
          <w:rFonts w:cs="Arial" w:ascii="Arial" w:hAnsi="Arial"/>
          <w:b/>
          <w:bCs/>
          <w:color w:val="000000"/>
          <w:sz w:val="22"/>
          <w:szCs w:val="22"/>
        </w:rPr>
        <w:t>/1ubt30w0k5/skrytka</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 xml:space="preserve">Wykonawca zamierzający wziąć udział w postępowaniu o udzielenie zamówienia publicznego, </w:t>
      </w:r>
      <w:r>
        <w:rPr>
          <w:rFonts w:cs="Arial" w:ascii="Arial" w:hAnsi="Arial"/>
          <w:b/>
          <w:color w:val="000000"/>
        </w:rPr>
        <w:t>musi posiadać konto na Epuap.</w:t>
      </w:r>
      <w:r>
        <w:rPr>
          <w:rFonts w:cs="Arial" w:ascii="Arial" w:hAnsi="Arial"/>
          <w:color w:val="000000"/>
        </w:rPr>
        <w:t xml:space="preserve">  Wykonawca posiadający konto na ePUAP ma dostęp do FORMULARZA: złożenia, zmiany wycofania oferty lub wniosku oraz formularza do komunikacji. </w:t>
      </w:r>
    </w:p>
    <w:p>
      <w:pPr>
        <w:pStyle w:val="Normal"/>
        <w:numPr>
          <w:ilvl w:val="6"/>
          <w:numId w:val="23"/>
        </w:numPr>
        <w:spacing w:before="0" w:after="0"/>
        <w:ind w:left="284" w:right="91" w:hanging="284"/>
        <w:jc w:val="both"/>
        <w:rPr/>
      </w:pPr>
      <w:r>
        <w:rPr>
          <w:rFonts w:cs="Arial" w:ascii="Arial" w:hAnsi="Arial"/>
          <w:color w:val="000000"/>
        </w:rPr>
        <w:t xml:space="preserve">Wykonawca przystępując do niniejszego postępowania o udzielenie zamówienia publicznego, akceptuje warunki korzystania z miniPortalu, określone w Regulaminie miniPortalu oraz zobowiązuje się korzystając z miniPortalu przestrzegać postanowień tego regulaminu.  </w:t>
      </w:r>
      <w:hyperlink r:id="rId4">
        <w:r>
          <w:rPr>
            <w:rStyle w:val="Czeinternetowe"/>
            <w:rFonts w:cs="Arial" w:ascii="Arial" w:hAnsi="Arial"/>
            <w:color w:val="0000FF" w:themeColor="hyperlink"/>
            <w:u w:val="single"/>
          </w:rPr>
          <w:t>https://miniportal.uzp.gov.pl/Instrukcja_uzytkownika_miniPortal-ePUAP.pdf</w:t>
        </w:r>
      </w:hyperlink>
      <w:r>
        <w:rPr>
          <w:rFonts w:cs="Arial" w:ascii="Arial" w:hAnsi="Arial"/>
          <w:color w:val="000000"/>
        </w:rPr>
        <w:t xml:space="preserve">. </w:t>
      </w:r>
    </w:p>
    <w:p>
      <w:pPr>
        <w:pStyle w:val="Normal"/>
        <w:spacing w:before="0" w:after="0"/>
        <w:ind w:left="284" w:right="91" w:hanging="0"/>
        <w:jc w:val="both"/>
        <w:rPr/>
      </w:pPr>
      <w:r>
        <w:rPr>
          <w:rFonts w:cs="Arial" w:ascii="Arial" w:hAnsi="Arial"/>
          <w:color w:val="000000"/>
        </w:rPr>
        <w:t xml:space="preserve">Z pozycji </w:t>
      </w:r>
      <w:hyperlink r:id="rId5">
        <w:r>
          <w:rPr>
            <w:rStyle w:val="Czeinternetowe"/>
            <w:rFonts w:cs="Arial" w:ascii="Arial" w:hAnsi="Arial"/>
            <w:color w:val="0000FF" w:themeColor="hyperlink"/>
            <w:u w:val="single"/>
          </w:rPr>
          <w:t>https://miniportal.uzp.gov.pl/</w:t>
        </w:r>
      </w:hyperlink>
      <w:r>
        <w:rPr>
          <w:rFonts w:cs="Arial" w:ascii="Arial" w:hAnsi="Arial"/>
          <w:color w:val="000000"/>
        </w:rPr>
        <w:t xml:space="preserve"> Wykonawca posiada dostęp do  FORMULARZA: złożenia, zmiany wycofania oferty lub wniosku oraz FORMULARZA do Komunikacji. </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Wymagania techniczne i organizacyjne wysyłania i odbierania korespondencji elektronicznej przekazywanej przy ich użyciu, opisane zostały w Regulaminie korzystania z miniPortalu dostępnym pod adresem https://miniportal.uzp.gov.pl/  oraz Regulaminie ePUAP.</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 xml:space="preserve">Maksymalny rozmiar plików przesyłanych za pośrednictwem dedykowanych formularzy do: złożenia i wycofania oferty oraz do komunikacji wynosi 150MB. </w:t>
      </w:r>
      <w:r>
        <w:rPr>
          <w:rFonts w:eastAsia="Times New Roman" w:cs="Arial" w:ascii="Arial" w:hAnsi="Arial"/>
          <w:bCs/>
          <w:lang w:eastAsia="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t>
      </w:r>
      <w:r>
        <w:rPr>
          <w:rFonts w:eastAsia="Times New Roman" w:cs="Arial" w:ascii="Arial" w:hAnsi="Arial"/>
          <w:b/>
          <w:bCs/>
          <w:lang w:eastAsia="pl-PL"/>
        </w:rPr>
        <w:t xml:space="preserve">w formatach </w:t>
      </w:r>
      <w:r>
        <w:rPr>
          <w:rFonts w:eastAsia="Times New Roman" w:cs="Arial" w:ascii="Arial" w:hAnsi="Arial"/>
          <w:bCs/>
          <w:lang w:eastAsia="pl-PL"/>
        </w:rPr>
        <w:t xml:space="preserve">.txt, .rtf, .pdf, .doc, .docx, .odt. </w:t>
      </w:r>
      <w:r>
        <w:rPr>
          <w:rFonts w:eastAsia="Times New Roman" w:cs="Arial" w:ascii="Arial" w:hAnsi="Arial"/>
          <w:b/>
          <w:bCs/>
          <w:u w:val="single"/>
          <w:lang w:eastAsia="pl-PL"/>
        </w:rPr>
        <w:t>(zalecany.pdf).</w:t>
      </w:r>
      <w:r>
        <w:rPr>
          <w:rFonts w:eastAsia="Times New Roman" w:cs="Arial" w:ascii="Arial" w:hAnsi="Arial"/>
          <w:bCs/>
          <w:lang w:eastAsia="pl-PL"/>
        </w:rPr>
        <w:t xml:space="preserve"> Ofertę, a także oświadczenie o jakim mowa w Rozdziale X ust. 1 SWZ składa się, pod rygorem nieważności, w formie elektronicznej lub w postaci elektronicznej opatrzonej podpisem zaufanym lub podpisem osobistym.</w:t>
      </w:r>
    </w:p>
    <w:p>
      <w:pPr>
        <w:pStyle w:val="Normal"/>
        <w:numPr>
          <w:ilvl w:val="6"/>
          <w:numId w:val="23"/>
        </w:numPr>
        <w:spacing w:before="0" w:after="0"/>
        <w:ind w:left="284" w:right="91" w:hanging="284"/>
        <w:jc w:val="both"/>
        <w:rPr>
          <w:rFonts w:ascii="Arial" w:hAnsi="Arial" w:cs="Arial"/>
          <w:color w:val="000000"/>
        </w:rPr>
      </w:pPr>
      <w:r>
        <w:rPr>
          <w:rFonts w:eastAsia="Times New Roman" w:cs="Arial" w:ascii="Arial" w:hAnsi="Arial"/>
          <w:bCs/>
          <w:lang w:eastAsia="pl-PL"/>
        </w:rPr>
        <w:t>Wymagania techniczne związane z minimum sprzętowym i programowym:</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Urządzenia teleinformatyczne z dostępem do sieci Internet z systemem operacyjnym: Windows, MacOS lub Linux</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 xml:space="preserve">przeglądarka internetowa: Microsoft Internet Explorer od wersji 11.0,  Mozilla Firefox od wersji 15, Google Chrome od wersji 20, </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założony profil zaufany w systemie ePUAP ( rekomendowany dodatkowy profil firmowy)</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podpis elektroniczny</w:t>
      </w:r>
    </w:p>
    <w:p>
      <w:pPr>
        <w:pStyle w:val="Normal"/>
        <w:numPr>
          <w:ilvl w:val="0"/>
          <w:numId w:val="27"/>
        </w:numPr>
        <w:spacing w:before="0" w:after="0"/>
        <w:ind w:left="993" w:right="91" w:hanging="426"/>
        <w:jc w:val="both"/>
        <w:rPr>
          <w:rFonts w:ascii="Arial" w:hAnsi="Arial" w:cs="Arial"/>
          <w:color w:val="000000"/>
        </w:rPr>
      </w:pPr>
      <w:r>
        <w:rPr>
          <w:rFonts w:eastAsia="Times New Roman" w:cs="Arial" w:ascii="Arial" w:hAnsi="Arial"/>
          <w:bCs/>
          <w:lang w:eastAsia="pl-PL"/>
        </w:rPr>
        <w:t>certyfikat podpisu kwalifikowanego, (dopuszczalne formaty podpisów: PaDES – format.pdf, XaDES –pozostałe formaty),</w:t>
      </w:r>
    </w:p>
    <w:p>
      <w:pPr>
        <w:pStyle w:val="Normal"/>
        <w:numPr>
          <w:ilvl w:val="0"/>
          <w:numId w:val="27"/>
        </w:numPr>
        <w:spacing w:before="0" w:after="0"/>
        <w:ind w:left="993" w:right="91" w:hanging="426"/>
        <w:jc w:val="both"/>
        <w:rPr>
          <w:rFonts w:ascii="Arial" w:hAnsi="Arial" w:cs="Arial"/>
          <w:color w:val="000000"/>
        </w:rPr>
      </w:pPr>
      <w:r>
        <w:rPr>
          <w:rFonts w:eastAsia="Times New Roman" w:cs="Arial" w:ascii="Arial" w:hAnsi="Arial"/>
          <w:bCs/>
          <w:lang w:eastAsia="pl-PL"/>
        </w:rPr>
        <w:t>profil zaufany</w:t>
      </w:r>
    </w:p>
    <w:p>
      <w:pPr>
        <w:pStyle w:val="Normal"/>
        <w:numPr>
          <w:ilvl w:val="0"/>
          <w:numId w:val="27"/>
        </w:numPr>
        <w:spacing w:before="0" w:after="0"/>
        <w:ind w:left="993" w:right="91" w:hanging="426"/>
        <w:jc w:val="both"/>
        <w:rPr>
          <w:rFonts w:ascii="Arial" w:hAnsi="Arial" w:cs="Arial"/>
          <w:color w:val="000000"/>
        </w:rPr>
      </w:pPr>
      <w:r>
        <w:rPr>
          <w:rFonts w:eastAsia="Times New Roman" w:cs="Arial" w:ascii="Arial" w:hAnsi="Arial"/>
          <w:bCs/>
          <w:lang w:eastAsia="pl-PL"/>
        </w:rPr>
        <w:t>e-dowód .</w:t>
      </w:r>
    </w:p>
    <w:p>
      <w:pPr>
        <w:pStyle w:val="Normal"/>
        <w:numPr>
          <w:ilvl w:val="6"/>
          <w:numId w:val="23"/>
        </w:numPr>
        <w:spacing w:before="0" w:after="0"/>
        <w:ind w:left="567" w:right="91" w:hanging="567"/>
        <w:jc w:val="both"/>
        <w:rPr>
          <w:rFonts w:ascii="Arial" w:hAnsi="Arial" w:cs="Arial"/>
          <w:color w:val="000000"/>
        </w:rPr>
      </w:pPr>
      <w:r>
        <w:rPr>
          <w:rFonts w:cs="Arial" w:ascii="Arial" w:hAnsi="Arial"/>
          <w:color w:val="00000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ePUAP. </w:t>
      </w:r>
    </w:p>
    <w:p>
      <w:pPr>
        <w:pStyle w:val="Normal"/>
        <w:numPr>
          <w:ilvl w:val="6"/>
          <w:numId w:val="23"/>
        </w:numPr>
        <w:spacing w:before="0" w:after="0"/>
        <w:ind w:left="567" w:right="91" w:hanging="567"/>
        <w:jc w:val="both"/>
        <w:rPr>
          <w:rFonts w:ascii="Arial" w:hAnsi="Arial" w:eastAsia="Times New Roman" w:cs="Arial"/>
          <w:bCs/>
          <w:lang w:eastAsia="pl-PL"/>
        </w:rPr>
      </w:pPr>
      <w:r>
        <w:rPr>
          <w:rFonts w:cs="Arial" w:ascii="Arial" w:hAnsi="Arial"/>
          <w:color w:val="000000"/>
        </w:rPr>
        <w:t xml:space="preserve">W postępowaniu o udzielenie zamówienia, korespondencja elektroniczna </w:t>
      </w:r>
      <w:r>
        <w:rPr>
          <w:rFonts w:cs="Arial" w:ascii="Arial" w:hAnsi="Arial"/>
          <w:b/>
          <w:color w:val="000000"/>
        </w:rPr>
        <w:t>(inna niż oferta Wykonawcy i załączniki do oferty)</w:t>
      </w:r>
      <w:bookmarkEnd w:id="3"/>
      <w:r>
        <w:rPr>
          <w:rFonts w:cs="Arial" w:ascii="Arial" w:hAnsi="Arial"/>
          <w:color w:val="000000"/>
        </w:rPr>
        <w:t xml:space="preserve"> odbywa się elektronicznie za pośrednictwem dedykowanego formularza dostępnego na ePUAP oraz udostępnionego przez miniPortal (Formularz do komunikacji). Korespondencja przesłana za pomocą tego formularza nie może być szyfrowana. </w:t>
      </w:r>
    </w:p>
    <w:p>
      <w:pPr>
        <w:pStyle w:val="Normal"/>
        <w:numPr>
          <w:ilvl w:val="6"/>
          <w:numId w:val="23"/>
        </w:numPr>
        <w:spacing w:before="0" w:after="0"/>
        <w:ind w:left="567" w:right="91" w:hanging="567"/>
        <w:jc w:val="both"/>
        <w:rPr>
          <w:rFonts w:ascii="Arial" w:hAnsi="Arial" w:eastAsia="Times New Roman" w:cs="Arial"/>
          <w:bCs/>
          <w:lang w:eastAsia="pl-PL"/>
        </w:rPr>
      </w:pPr>
      <w:r>
        <w:rPr>
          <w:rFonts w:eastAsia="Times New Roman" w:cs="Arial" w:ascii="Arial" w:hAnsi="Arial"/>
          <w:bCs/>
          <w:lang w:eastAsia="pl-PL"/>
        </w:rPr>
        <w:t xml:space="preserve">Dane postępowania można wyszukać wg ID postępowania lub numerem Ogłoszenia BZP na Liście wszystkich postępowań klikając wcześniej opcje” Dla Wykonawców” lub ze strony głównej z zakładki Postępowania na miniPortalu.  </w:t>
      </w:r>
    </w:p>
    <w:p>
      <w:pPr>
        <w:pStyle w:val="Normal"/>
        <w:numPr>
          <w:ilvl w:val="6"/>
          <w:numId w:val="23"/>
        </w:numPr>
        <w:spacing w:before="0" w:after="0"/>
        <w:ind w:left="567" w:right="91" w:hanging="567"/>
        <w:jc w:val="both"/>
        <w:rPr>
          <w:rFonts w:ascii="Arial" w:hAnsi="Arial" w:eastAsia="Times New Roman" w:cs="Arial"/>
          <w:bCs/>
          <w:lang w:eastAsia="pl-PL"/>
        </w:rPr>
      </w:pPr>
      <w:r>
        <w:rPr>
          <w:rFonts w:eastAsia="Times New Roman" w:cs="Arial" w:ascii="Arial" w:hAnsi="Arial"/>
          <w:lang w:eastAsia="pl-PL"/>
        </w:rPr>
        <w:t>W korespondencji kierowanej do Zamawiającego, Wykonawcy powinni posługiwać się numerem Ogłoszenia  BZP, ID postępowania.</w:t>
      </w:r>
    </w:p>
    <w:p>
      <w:pPr>
        <w:pStyle w:val="Normal"/>
        <w:numPr>
          <w:ilvl w:val="6"/>
          <w:numId w:val="23"/>
        </w:numPr>
        <w:spacing w:before="0" w:after="0"/>
        <w:ind w:left="426" w:right="92" w:hanging="426"/>
        <w:jc w:val="both"/>
        <w:rPr/>
      </w:pPr>
      <w:r>
        <w:rPr>
          <w:rFonts w:eastAsia="Times New Roman" w:cs="Arial" w:ascii="Arial" w:hAnsi="Arial"/>
          <w:lang w:eastAsia="pl-PL"/>
        </w:rPr>
        <w:t>Osobą uprawnioną do porozumiewania się z Wykonawcami jest Anna Papiernik - Inspektor ds. zamówień publicznych tel. (24) 2361369.</w:t>
      </w:r>
    </w:p>
    <w:p>
      <w:pPr>
        <w:pStyle w:val="Normal"/>
        <w:numPr>
          <w:ilvl w:val="6"/>
          <w:numId w:val="23"/>
        </w:numPr>
        <w:spacing w:before="0" w:after="0"/>
        <w:ind w:left="426" w:right="92" w:hanging="426"/>
        <w:jc w:val="both"/>
        <w:rPr/>
      </w:pPr>
      <w:r>
        <w:rPr>
          <w:rFonts w:cs="Arial" w:ascii="Arial" w:hAnsi="Arial"/>
          <w:color w:val="000000"/>
        </w:rPr>
        <w:t>Zamawiający może również komunikować się z Wykonawcami za pomocą poczty elektronicznej, email: sekretariat@mopsgostynin.pl</w:t>
      </w:r>
    </w:p>
    <w:p>
      <w:pPr>
        <w:pStyle w:val="Normal"/>
        <w:numPr>
          <w:ilvl w:val="6"/>
          <w:numId w:val="23"/>
        </w:numPr>
        <w:spacing w:before="0" w:after="0"/>
        <w:ind w:left="426" w:right="92" w:hanging="426"/>
        <w:jc w:val="both"/>
        <w:rPr>
          <w:rFonts w:ascii="Arial" w:hAnsi="Arial" w:eastAsia="Times New Roman" w:cs="Arial"/>
          <w:caps/>
          <w:lang w:eastAsia="pl-PL"/>
        </w:rPr>
      </w:pPr>
      <w:r>
        <w:rPr>
          <w:rFonts w:cs="Arial" w:ascii="Arial" w:hAnsi="Arial"/>
          <w:color w:val="000000"/>
        </w:rPr>
        <w:t xml:space="preserve">Zamawiający nie przewiduje sposobu komunikowania się z Wykonawcami w inny sposób niż przy użyciu środków komunikacji elektronicznej, wskazanych w SWZ. </w:t>
      </w:r>
    </w:p>
    <w:p>
      <w:pPr>
        <w:pStyle w:val="Normal"/>
        <w:spacing w:before="0" w:after="0"/>
        <w:ind w:left="868" w:right="92" w:hanging="0"/>
        <w:jc w:val="both"/>
        <w:rPr>
          <w:rFonts w:ascii="Arial" w:hAnsi="Arial" w:eastAsia="Times New Roman" w:cs="Arial"/>
          <w:lang w:eastAsia="pl-PL"/>
        </w:rPr>
      </w:pPr>
      <w:r>
        <w:rPr>
          <w:rFonts w:eastAsia="Times New Roman" w:cs="Arial" w:ascii="Arial" w:hAnsi="Arial"/>
          <w:lang w:eastAsia="pl-PL"/>
        </w:rPr>
      </w:r>
    </w:p>
    <w:p>
      <w:pPr>
        <w:pStyle w:val="Normal"/>
        <w:numPr>
          <w:ilvl w:val="4"/>
          <w:numId w:val="3"/>
        </w:numPr>
        <w:spacing w:before="0" w:after="0"/>
        <w:ind w:left="851" w:hanging="709"/>
        <w:contextualSpacing/>
        <w:jc w:val="both"/>
        <w:rPr>
          <w:rFonts w:ascii="Arial" w:hAnsi="Arial" w:eastAsia="Times New Roman" w:cs="Arial"/>
          <w:b/>
          <w:b/>
          <w:lang w:eastAsia="pl-PL"/>
        </w:rPr>
      </w:pPr>
      <w:r>
        <w:rPr>
          <w:rFonts w:eastAsia="Times New Roman" w:cs="Arial" w:ascii="Arial" w:hAnsi="Arial"/>
          <w:b/>
          <w:lang w:eastAsia="pl-PL"/>
        </w:rPr>
        <w:t xml:space="preserve">WYJAŚNIANIA TREŚCI SWZ </w:t>
      </w:r>
    </w:p>
    <w:p>
      <w:pPr>
        <w:pStyle w:val="Normal"/>
        <w:numPr>
          <w:ilvl w:val="6"/>
          <w:numId w:val="25"/>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Wykonawca może zwrócić się do zamawiającego z wnioskiem o wyjaśnienie treści SWZ.</w:t>
      </w:r>
    </w:p>
    <w:p>
      <w:pPr>
        <w:pStyle w:val="Normal"/>
        <w:numPr>
          <w:ilvl w:val="0"/>
          <w:numId w:val="25"/>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pPr>
        <w:pStyle w:val="Normal"/>
        <w:numPr>
          <w:ilvl w:val="0"/>
          <w:numId w:val="25"/>
        </w:numPr>
        <w:spacing w:before="0" w:after="0"/>
        <w:ind w:left="284" w:right="92" w:hanging="284"/>
        <w:jc w:val="both"/>
        <w:rPr/>
      </w:pPr>
      <w:r>
        <w:rPr>
          <w:rFonts w:eastAsia="Times New Roman" w:cs="Arial" w:ascii="Arial" w:hAnsi="Arial"/>
          <w:lang w:eastAsia="pl-P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pPr>
        <w:pStyle w:val="Normal"/>
        <w:numPr>
          <w:ilvl w:val="0"/>
          <w:numId w:val="25"/>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Przedłużenie terminu składania ofert, o których mowa w ust. 3, nie wpływa na bieg terminu składania wniosku o wyjaśnienie treści SWZ.</w:t>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t>XV.OPIS SPOSOBU PRZYGOTOWANIA OFERT ORAZ WYMAGANIA FORMALNE DOTYCZĄCE SKŁADANIA OŚWIADCZEŃ I DOKUMENTÓW</w:t>
      </w:r>
    </w:p>
    <w:p>
      <w:pPr>
        <w:pStyle w:val="Normal"/>
        <w:numPr>
          <w:ilvl w:val="0"/>
          <w:numId w:val="14"/>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Wykonawca składa ofertę w postępowaniu, za pośrednictwem „Formularza do złożenia, zmiany, wycofania oferty lub wniosku” dostępnego na ePUAP i udostępnionego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 </w:t>
      </w:r>
    </w:p>
    <w:p>
      <w:pPr>
        <w:pStyle w:val="Normal"/>
        <w:numPr>
          <w:ilvl w:val="0"/>
          <w:numId w:val="14"/>
        </w:numPr>
        <w:tabs>
          <w:tab w:val="left" w:pos="426" w:leader="none"/>
        </w:tabs>
        <w:spacing w:before="0" w:after="0"/>
        <w:ind w:left="426" w:right="23" w:hanging="426"/>
        <w:jc w:val="both"/>
        <w:rPr>
          <w:rFonts w:ascii="Arial" w:hAnsi="Arial" w:eastAsia="Times New Roman" w:cs="Arial"/>
          <w:lang w:eastAsia="pl-PL"/>
        </w:rPr>
      </w:pPr>
      <w:r>
        <w:rPr>
          <w:rFonts w:eastAsia="Times New Roman" w:cs="Arial" w:ascii="Arial" w:hAnsi="Arial"/>
          <w:lang w:eastAsia="pl-PL"/>
        </w:rPr>
        <w:t>Oferta powinna być sporządzona w języku polskim. Każdy dokument składający  się na ofertę powinien być czytelny.</w:t>
      </w:r>
    </w:p>
    <w:p>
      <w:pPr>
        <w:pStyle w:val="Normal"/>
        <w:numPr>
          <w:ilvl w:val="0"/>
          <w:numId w:val="14"/>
        </w:numPr>
        <w:spacing w:before="0" w:after="0"/>
        <w:ind w:left="426" w:right="23" w:hanging="426"/>
        <w:jc w:val="both"/>
        <w:rPr>
          <w:rFonts w:ascii="Arial" w:hAnsi="Arial" w:eastAsia="Times New Roman" w:cs="Arial"/>
          <w:lang w:eastAsia="pl-PL"/>
        </w:rPr>
      </w:pPr>
      <w:r>
        <w:rPr>
          <w:rFonts w:eastAsia="Times New Roman" w:cs="Arial" w:ascii="Arial" w:hAnsi="Arial"/>
          <w:lang w:eastAsia="pl-PL"/>
        </w:rPr>
        <w:t>Podmiotowe środki dowodowe lub inne dokumenty, w tym dokumenty potwierdzające umocowanie do reprezentowania, sporządzone w języku obcym przekazuje się wraz z tłumaczeniem na język polski.</w:t>
      </w:r>
    </w:p>
    <w:p>
      <w:pPr>
        <w:pStyle w:val="Normal"/>
        <w:numPr>
          <w:ilvl w:val="0"/>
          <w:numId w:val="14"/>
        </w:numPr>
        <w:spacing w:before="0" w:after="0"/>
        <w:ind w:left="426" w:hanging="426"/>
        <w:jc w:val="both"/>
        <w:rPr>
          <w:rFonts w:ascii="Arial" w:hAnsi="Arial" w:eastAsia="Times New Roman" w:cs="Arial"/>
          <w:lang w:eastAsia="pl-PL"/>
        </w:rPr>
      </w:pPr>
      <w:r>
        <w:rPr>
          <w:rFonts w:eastAsia="Times New Roman" w:cs="Arial" w:ascii="Arial" w:hAnsi="Arial"/>
          <w:lang w:eastAsia="pl-PL"/>
        </w:rPr>
        <w:t>Treść oferty musi odpowiadać treści SWZ.</w:t>
      </w:r>
    </w:p>
    <w:p>
      <w:pPr>
        <w:pStyle w:val="Normal"/>
        <w:numPr>
          <w:ilvl w:val="0"/>
          <w:numId w:val="14"/>
        </w:numPr>
        <w:spacing w:before="0" w:after="0"/>
        <w:ind w:left="426" w:right="20" w:hanging="426"/>
        <w:jc w:val="both"/>
        <w:rPr>
          <w:rFonts w:ascii="Arial" w:hAnsi="Arial" w:eastAsia="Times New Roman" w:cs="Arial"/>
          <w:b/>
          <w:b/>
          <w:lang w:eastAsia="pl-PL"/>
        </w:rPr>
      </w:pPr>
      <w:r>
        <w:rPr>
          <w:rFonts w:eastAsia="Times New Roman" w:cs="Arial" w:ascii="Arial" w:hAnsi="Arial"/>
          <w:lang w:eastAsia="pl-PL"/>
        </w:rPr>
        <w:t xml:space="preserve">Ofertę składa się na Formularzu Ofertowym – zgodnie z </w:t>
      </w:r>
      <w:r>
        <w:rPr>
          <w:rFonts w:eastAsia="Times New Roman" w:cs="Arial" w:ascii="Arial" w:hAnsi="Arial"/>
          <w:b/>
          <w:lang w:eastAsia="pl-PL"/>
        </w:rPr>
        <w:t>Załącznikiem nr 1 do SWZ</w:t>
      </w:r>
      <w:r>
        <w:rPr>
          <w:rFonts w:eastAsia="Times New Roman" w:cs="Arial" w:ascii="Arial" w:hAnsi="Arial"/>
          <w:lang w:eastAsia="pl-PL"/>
        </w:rPr>
        <w:t>. Wraz z ofertą Wykonawca jest zobowiązany złożyć:</w:t>
      </w:r>
    </w:p>
    <w:p>
      <w:pPr>
        <w:pStyle w:val="Normal"/>
        <w:numPr>
          <w:ilvl w:val="0"/>
          <w:numId w:val="18"/>
        </w:numPr>
        <w:spacing w:before="0" w:after="0"/>
        <w:ind w:left="852" w:right="20" w:hanging="426"/>
        <w:jc w:val="both"/>
        <w:rPr>
          <w:rFonts w:ascii="Arial" w:hAnsi="Arial" w:eastAsia="Times New Roman" w:cs="Arial"/>
          <w:b/>
          <w:b/>
          <w:lang w:eastAsia="pl-PL"/>
        </w:rPr>
      </w:pPr>
      <w:r>
        <w:rPr>
          <w:rFonts w:eastAsia="Times New Roman" w:cs="Arial" w:ascii="Arial" w:hAnsi="Arial"/>
          <w:lang w:eastAsia="pl-PL"/>
        </w:rPr>
        <w:t>oświadczenia, o których mowa w Rozdziale X ust. 1 SWZ;</w:t>
      </w:r>
    </w:p>
    <w:p>
      <w:pPr>
        <w:pStyle w:val="Normal"/>
        <w:numPr>
          <w:ilvl w:val="0"/>
          <w:numId w:val="18"/>
        </w:numPr>
        <w:spacing w:before="0" w:after="0"/>
        <w:ind w:left="852" w:right="20" w:hanging="426"/>
        <w:jc w:val="both"/>
        <w:rPr>
          <w:rFonts w:ascii="Arial" w:hAnsi="Arial" w:eastAsia="Times New Roman" w:cs="Arial"/>
          <w:b/>
          <w:b/>
          <w:lang w:eastAsia="pl-PL"/>
        </w:rPr>
      </w:pPr>
      <w:r>
        <w:rPr>
          <w:rFonts w:eastAsia="Times New Roman" w:cs="Arial" w:ascii="Arial" w:hAnsi="Arial"/>
          <w:lang w:eastAsia="pl-PL"/>
        </w:rPr>
        <w:t>zobowiązanie innego podmiotu, o którym mowa w Rozdziale XI ust. 3 SWZ (jeżeli dotyczy);</w:t>
      </w:r>
    </w:p>
    <w:p>
      <w:pPr>
        <w:pStyle w:val="Normal"/>
        <w:numPr>
          <w:ilvl w:val="0"/>
          <w:numId w:val="18"/>
        </w:numPr>
        <w:spacing w:before="0" w:after="0"/>
        <w:ind w:left="852" w:right="20" w:hanging="426"/>
        <w:jc w:val="both"/>
        <w:rPr/>
      </w:pPr>
      <w:r>
        <w:rPr>
          <w:rFonts w:eastAsia="Times New Roman" w:cs="Arial" w:ascii="Arial" w:hAnsi="Arial"/>
          <w:lang w:eastAsia="pl-PL"/>
        </w:rPr>
        <w:t xml:space="preserve">dokumenty, z których wynika prawo do podpisania oferty; odpowiednie pełnomocnictwa  (jeżeli dotyczy). </w:t>
      </w:r>
    </w:p>
    <w:p>
      <w:pPr>
        <w:pStyle w:val="Normal"/>
        <w:spacing w:before="0" w:after="0"/>
        <w:ind w:left="852" w:right="20" w:hanging="0"/>
        <w:jc w:val="both"/>
        <w:rPr>
          <w:rFonts w:ascii="Arial" w:hAnsi="Arial" w:eastAsia="Times New Roman" w:cs="Arial"/>
          <w:b/>
          <w:b/>
          <w:lang w:val="x-none" w:eastAsia="pl-PL"/>
        </w:rPr>
      </w:pPr>
      <w:r>
        <w:rPr>
          <w:rFonts w:eastAsia="Times New Roman" w:cs="Arial" w:ascii="Arial" w:hAnsi="Arial"/>
          <w:b/>
          <w:lang w:val="x-none" w:eastAsia="pl-PL"/>
        </w:rPr>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b/>
          <w:lang w:eastAsia="pl-PL"/>
        </w:rPr>
        <w:t xml:space="preserve">Ofertę składa się pod rygorem nieważności w formie elektronicznej lub w postaci elektronicznej opatrzonej podpisem zaufanym lub podpisem osobistym. </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 xml:space="preserve">W celu złożenia oferty należy zarejestrować (zalogować) się na Platformie i postępować zgodnie z instrukcjami dostępnymi u dostawcy rozwiązania informatycznego pod adresem </w:t>
      </w:r>
      <w:r>
        <w:rPr>
          <w:rFonts w:eastAsia="Times New Roman" w:cs="Arial" w:ascii="Arial" w:hAnsi="Arial"/>
          <w:b/>
          <w:lang w:eastAsia="pl-PL"/>
        </w:rPr>
        <w:t>https://miniportal.uzp.gov.pl</w:t>
      </w:r>
      <w:r>
        <w:rPr>
          <w:rFonts w:eastAsia="Times New Roman" w:cs="Arial" w:ascii="Arial" w:hAnsi="Arial"/>
          <w:lang w:eastAsia="pl-PL"/>
        </w:rPr>
        <w:t xml:space="preserve"> </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 xml:space="preserve">Jeśli oferta zawiera </w:t>
      </w:r>
      <w:r>
        <w:rPr>
          <w:rFonts w:eastAsia="Times New Roman" w:cs="Arial" w:ascii="Arial" w:hAnsi="Arial"/>
          <w:b/>
          <w:lang w:eastAsia="pl-PL"/>
        </w:rPr>
        <w:t>informacje stanowiące tajemnicę przedsiębiorstwa</w:t>
      </w:r>
      <w:r>
        <w:rPr>
          <w:rFonts w:eastAsia="Times New Roman" w:cs="Arial" w:ascii="Arial" w:hAnsi="Arial"/>
          <w:lang w:eastAsia="pl-PL"/>
        </w:rPr>
        <w:t xml:space="preserve">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Informacje stanowiące tajemnicę przedsiębiorstwa, które Wykonawca zastrzeże jako tajemnicę przedsiębiorstwa, powinny zostać złożone w osobnym pliku wraz z jednoznacznym zaznaczeniem polecenia ”Załącznik stanowi tajemnicę przedsiębiorstwa” a następnie wraz z plikami stanowiącymi jawna część skompresowane są do jednego pliku archiwum(ZIP).</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użytkowania dostępnej na miniPortalu.</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 xml:space="preserve">Wykonawca po upływie terminu do składania oferty nie może skutecznie dokonać zmiany ani wycofać złożonej oferty. </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Wszystkie koszty związane z uczestnictwem w postępowaniu, w szczególności z przygotowaniem i złożeniem oferty ponosi Wykonawca składający ofertę. Zamawiający nie przewiduje zwrotu kosztów udziału w postępowaniu.</w:t>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t>XVI.SPOSÓB OBLICZENIA CENY OFERTY</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podaje cenę za realizację przedmiotu zamówienia zgodnie ze wzorem Formularza Ofertowego, stanowiącego </w:t>
      </w:r>
      <w:r>
        <w:rPr>
          <w:rFonts w:eastAsia="Times New Roman" w:cs="Arial" w:ascii="Arial" w:hAnsi="Arial"/>
          <w:b/>
          <w:lang w:eastAsia="pl-PL"/>
        </w:rPr>
        <w:t xml:space="preserve">Załącznik nr 1 do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Cena ofertowa brutto musi uwzględniać wszystkie koszty związane z realizacją przedmiotu zamówienia zgodnie z opisem przedmiotu zamówienia oraz istotnymi postanowieniami umowy określonymi w niniejszej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podana na Formularzu Ofertowym jest ceną ostateczną, niepodlegającą negocjacji i wyczerpującą wszelkie należności Wykonawcy wobec Zamawiającego związane z realizacją przedmiotu zamówienia.</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oferty powinna być wyrażona w złotych polskich (PLN) z dokładnością do dwóch miejsc po przecinku.</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rozliczeń w walucie obcej.</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Wyliczona cena oferty brutto będzie służyć do porównania złożonych ofert i do rozliczenia w trakcie realizacji zamówienia.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XVII.WYMAGANIA DOTYCZĄCE WADIUM</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nie żąda wniesienia wadium</w:t>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 xml:space="preserve">XVIII. TERMIN ZWIĄZANIA OFERTĄ </w:t>
      </w:r>
    </w:p>
    <w:p>
      <w:pPr>
        <w:pStyle w:val="Normal"/>
        <w:numPr>
          <w:ilvl w:val="0"/>
          <w:numId w:val="11"/>
        </w:numPr>
        <w:spacing w:before="0" w:after="0"/>
        <w:ind w:left="426" w:hanging="426"/>
        <w:jc w:val="both"/>
        <w:rPr/>
      </w:pPr>
      <w:r>
        <w:rPr>
          <w:rFonts w:eastAsia="Times New Roman" w:cs="Arial" w:ascii="Arial" w:hAnsi="Arial"/>
          <w:lang w:eastAsia="pl-PL"/>
        </w:rPr>
        <w:t xml:space="preserve">Wykonawca będzie związany ofertą przez okres </w:t>
      </w:r>
      <w:r>
        <w:rPr>
          <w:rFonts w:eastAsia="Times New Roman" w:cs="Arial" w:ascii="Arial" w:hAnsi="Arial"/>
          <w:b/>
          <w:lang w:eastAsia="pl-PL"/>
        </w:rPr>
        <w:t xml:space="preserve">30 dni, tj </w:t>
      </w:r>
      <w:r>
        <w:rPr>
          <w:rFonts w:eastAsia="Times New Roman" w:cs="Arial" w:ascii="Arial" w:hAnsi="Arial"/>
          <w:b/>
          <w:lang w:eastAsia="pl-PL"/>
        </w:rPr>
        <w:t>do dnia 26 grudnia</w:t>
      </w:r>
      <w:r>
        <w:rPr>
          <w:rFonts w:eastAsia="Times New Roman" w:cs="Arial" w:ascii="Arial" w:hAnsi="Arial"/>
          <w:b/>
          <w:color w:val="FF3333"/>
          <w:lang w:eastAsia="pl-PL"/>
        </w:rPr>
        <w:t xml:space="preserve"> </w:t>
      </w:r>
      <w:r>
        <w:rPr>
          <w:rFonts w:eastAsia="Times New Roman" w:cs="Arial" w:ascii="Arial" w:hAnsi="Arial"/>
          <w:b/>
          <w:color w:val="auto"/>
          <w:lang w:eastAsia="pl-PL"/>
        </w:rPr>
        <w:t>2021r.</w:t>
      </w:r>
      <w:r>
        <w:rPr>
          <w:rFonts w:eastAsia="Times New Roman" w:cs="Arial" w:ascii="Arial" w:hAnsi="Arial"/>
          <w:lang w:eastAsia="pl-PL"/>
        </w:rPr>
        <w:t xml:space="preserve"> Bieg terminu związania ofertą rozpoczyna się wraz z upływem terminu składania ofert.</w:t>
      </w:r>
    </w:p>
    <w:p>
      <w:pPr>
        <w:pStyle w:val="Normal"/>
        <w:numPr>
          <w:ilvl w:val="0"/>
          <w:numId w:val="11"/>
        </w:numPr>
        <w:spacing w:before="0" w:after="0"/>
        <w:ind w:left="426" w:hanging="426"/>
        <w:jc w:val="both"/>
        <w:rPr>
          <w:rFonts w:ascii="Arial" w:hAnsi="Arial" w:eastAsia="Times New Roman" w:cs="Arial"/>
          <w:lang w:eastAsia="pl-PL"/>
        </w:rPr>
      </w:pPr>
      <w:r>
        <w:rPr>
          <w:rFonts w:eastAsia="Times New Roman" w:cs="Arial" w:ascii="Arial" w:hAnsi="Arial"/>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XIX. SPOSÓB I TERMIN SKŁADANIA I OTWARCIA OFERT</w:t>
      </w:r>
    </w:p>
    <w:p>
      <w:pPr>
        <w:pStyle w:val="Normal"/>
        <w:numPr>
          <w:ilvl w:val="0"/>
          <w:numId w:val="13"/>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składa ofertę za pośrednictwem Formularza do złożenia lub wycofania ofert dostępnego na ePUAP i udostępnionego również na miniPortalu. Sposób złożenia oferty opisany został w Instrukcji użytkowania dostępnej na miniPortalu. </w:t>
      </w:r>
    </w:p>
    <w:p>
      <w:pPr>
        <w:pStyle w:val="Normal"/>
        <w:numPr>
          <w:ilvl w:val="0"/>
          <w:numId w:val="13"/>
        </w:numPr>
        <w:spacing w:before="0" w:after="0"/>
        <w:ind w:left="426" w:hanging="426"/>
        <w:jc w:val="both"/>
        <w:rPr/>
      </w:pPr>
      <w:r>
        <w:rPr>
          <w:rFonts w:eastAsia="Times New Roman" w:cs="Arial" w:ascii="Arial" w:hAnsi="Arial"/>
          <w:lang w:eastAsia="pl-PL"/>
        </w:rPr>
        <w:t xml:space="preserve">Ofertę wraz z wymaganymi załącznikami należy złożyć poprzez Platformę </w:t>
      </w:r>
      <w:r>
        <w:rPr>
          <w:rFonts w:eastAsia="Times New Roman" w:cs="Arial" w:ascii="Arial" w:hAnsi="Arial"/>
          <w:b/>
          <w:color w:val="auto"/>
          <w:u w:val="single"/>
          <w:lang w:eastAsia="pl-PL"/>
        </w:rPr>
        <w:t xml:space="preserve">do dnia </w:t>
        <w:br/>
      </w:r>
      <w:r>
        <w:rPr>
          <w:rFonts w:eastAsia="Times New Roman" w:cs="Arial" w:ascii="Arial" w:hAnsi="Arial"/>
          <w:b/>
          <w:color w:val="auto"/>
          <w:u w:val="single"/>
          <w:lang w:eastAsia="pl-PL"/>
        </w:rPr>
        <w:t>26 listopada</w:t>
      </w:r>
      <w:r>
        <w:rPr>
          <w:rFonts w:eastAsia="Times New Roman" w:cs="Arial" w:ascii="Arial" w:hAnsi="Arial"/>
          <w:b/>
          <w:color w:val="auto"/>
          <w:u w:val="single"/>
          <w:lang w:eastAsia="pl-PL"/>
        </w:rPr>
        <w:t xml:space="preserve"> 2021</w:t>
      </w:r>
      <w:r>
        <w:rPr>
          <w:rFonts w:eastAsia="Times New Roman" w:cs="Arial" w:ascii="Arial" w:hAnsi="Arial"/>
          <w:caps/>
          <w:color w:val="auto"/>
          <w:u w:val="single"/>
          <w:lang w:eastAsia="pl-PL"/>
        </w:rPr>
        <w:t xml:space="preserve"> </w:t>
      </w:r>
      <w:r>
        <w:rPr>
          <w:rFonts w:eastAsia="Times New Roman" w:cs="Arial" w:ascii="Arial" w:hAnsi="Arial"/>
          <w:b/>
          <w:color w:val="auto"/>
          <w:u w:val="single"/>
          <w:lang w:eastAsia="pl-PL"/>
        </w:rPr>
        <w:t xml:space="preserve">r. do godziny </w:t>
      </w:r>
      <w:r>
        <w:rPr>
          <w:rFonts w:eastAsia="Times New Roman" w:cs="Arial" w:ascii="Arial" w:hAnsi="Arial"/>
          <w:b/>
          <w:color w:val="auto"/>
          <w:u w:val="single"/>
          <w:lang w:eastAsia="pl-PL"/>
        </w:rPr>
        <w:t>09:00</w:t>
      </w:r>
      <w:r>
        <w:rPr>
          <w:rFonts w:eastAsia="Times New Roman" w:cs="Arial" w:ascii="Arial" w:hAnsi="Arial"/>
          <w:color w:val="auto"/>
          <w:u w:val="single"/>
          <w:lang w:eastAsia="pl-PL"/>
        </w:rPr>
        <w:t>.</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O terminie złożenia oferty decyduje czas pełnego przeprocesowania transakcji na Platformie.</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Wykonawca może złożyć tylko jedną ofertę.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Wykonawca po przesłaniu oferty za pomocą Formularza do złożenia lub wycofania oferty na „ekranie sukces” otrzyma numer oferty generowany przez ePUAP. Ten numer należy zapisać i zachować. Będzie on potrzebny w razie ewentualnego wycofania oferty. Wycofanie oferty możliwe jest tylko do momentu składania ofert. Po tym terminie Wykonawca nie będzie wstanie wycofać ofertę.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Zamawiający odrzuci ofertę złożona po terminie składania ofert. </w:t>
      </w:r>
    </w:p>
    <w:p>
      <w:pPr>
        <w:pStyle w:val="Normal"/>
        <w:numPr>
          <w:ilvl w:val="0"/>
          <w:numId w:val="13"/>
        </w:numPr>
        <w:spacing w:before="0" w:after="0"/>
        <w:ind w:left="426" w:hanging="426"/>
        <w:jc w:val="both"/>
        <w:rPr/>
      </w:pPr>
      <w:r>
        <w:rPr>
          <w:rFonts w:eastAsia="Times New Roman" w:cs="Arial" w:ascii="Arial" w:hAnsi="Arial"/>
          <w:lang w:eastAsia="pl-PL"/>
        </w:rPr>
        <w:t xml:space="preserve">Otwarcie ofert nastąpi w dniu </w:t>
      </w:r>
      <w:r>
        <w:rPr>
          <w:rFonts w:eastAsia="Times New Roman" w:cs="Arial" w:ascii="Arial" w:hAnsi="Arial"/>
          <w:b/>
          <w:color w:val="auto"/>
          <w:u w:val="single"/>
          <w:lang w:eastAsia="pl-PL"/>
        </w:rPr>
        <w:t>26 listopada 2021r. o godz. 10:30</w:t>
      </w:r>
      <w:r>
        <w:rPr>
          <w:rFonts w:eastAsia="Times New Roman" w:cs="Arial" w:ascii="Arial" w:hAnsi="Arial"/>
          <w:color w:val="auto"/>
          <w:u w:val="single"/>
          <w:lang w:eastAsia="pl-PL"/>
        </w:rPr>
        <w:t>.</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Otwarcie ofert następuje poprzez użycie mechanizmu do odszyfrowania ofert dostępnego po zalogowaniu w zakładce Deszyfrowanie na miniPortalu i następuje poprzez wskazanie pliku do odszyfrowania.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Najpóźniej przed otwarciem ofert, udostępnia się na stronie internetowej prowadzonego postępowania informację o kwocie, jaką zamierza się przeznaczyć na sfinansowanie zamówienia.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Niezwłocznie po otwarciu ofert, udostępnia się na stronie internetowej prowadzonego postępowania informacje o: </w:t>
      </w:r>
    </w:p>
    <w:p>
      <w:pPr>
        <w:pStyle w:val="Normal"/>
        <w:spacing w:before="0" w:after="0"/>
        <w:ind w:left="826" w:hanging="395"/>
        <w:jc w:val="both"/>
        <w:rPr>
          <w:rFonts w:ascii="Arial" w:hAnsi="Arial" w:eastAsia="Times New Roman" w:cs="Arial"/>
          <w:lang w:eastAsia="pl-PL"/>
        </w:rPr>
      </w:pPr>
      <w:r>
        <w:rPr>
          <w:rFonts w:eastAsia="Times New Roman" w:cs="Arial" w:ascii="Arial" w:hAnsi="Arial"/>
          <w:lang w:eastAsia="pl-PL"/>
        </w:rPr>
        <w:t>1)</w:t>
        <w:tab/>
        <w:t xml:space="preserve">nazwach albo imionach i nazwiskach oraz siedzibach lub miejscach prowadzonej działalności gospodarczej albo miejscach zamieszkania wykonawców, których oferty zostały otwarte; </w:t>
      </w:r>
    </w:p>
    <w:p>
      <w:pPr>
        <w:pStyle w:val="Normal"/>
        <w:spacing w:before="0" w:after="0"/>
        <w:ind w:left="826" w:hanging="395"/>
        <w:jc w:val="both"/>
        <w:rPr>
          <w:rFonts w:ascii="Arial" w:hAnsi="Arial" w:eastAsia="Times New Roman" w:cs="Arial"/>
          <w:lang w:eastAsia="pl-PL"/>
        </w:rPr>
      </w:pPr>
      <w:r>
        <w:rPr>
          <w:rFonts w:eastAsia="Times New Roman" w:cs="Arial" w:ascii="Arial" w:hAnsi="Arial"/>
          <w:lang w:eastAsia="pl-PL"/>
        </w:rPr>
        <w:t>2)</w:t>
        <w:tab/>
        <w:t>cenach lub kosztach zawartych w ofertach.</w:t>
      </w:r>
    </w:p>
    <w:p>
      <w:pPr>
        <w:pStyle w:val="Normal"/>
        <w:numPr>
          <w:ilvl w:val="0"/>
          <w:numId w:val="13"/>
        </w:numPr>
        <w:spacing w:before="0" w:after="0"/>
        <w:jc w:val="both"/>
        <w:rPr>
          <w:rFonts w:ascii="Arial" w:hAnsi="Arial" w:cs="Arial"/>
          <w:color w:val="000000"/>
        </w:rPr>
      </w:pPr>
      <w:r>
        <w:rPr>
          <w:rFonts w:cs="Arial" w:ascii="Arial" w:hAnsi="Arial"/>
          <w:color w:val="000000"/>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13"/>
        </w:numPr>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 xml:space="preserve">Zamawiający poinformuje o zmianie terminu otwarcia ofert na stronie internetowej prowadzonego postępowania. </w:t>
      </w:r>
    </w:p>
    <w:p>
      <w:pPr>
        <w:pStyle w:val="Normal"/>
        <w:spacing w:before="0" w:after="0"/>
        <w:ind w:left="360" w:hanging="0"/>
        <w:jc w:val="both"/>
        <w:rPr>
          <w:rFonts w:ascii="Arial" w:hAnsi="Arial" w:cs="Arial"/>
          <w:color w:val="000000"/>
        </w:rPr>
      </w:pPr>
      <w:r>
        <w:rPr>
          <w:rFonts w:cs="Arial" w:ascii="Arial" w:hAnsi="Arial"/>
          <w:color w:val="000000"/>
        </w:rPr>
      </w:r>
    </w:p>
    <w:p>
      <w:pPr>
        <w:pStyle w:val="Normal"/>
        <w:spacing w:before="0" w:after="0"/>
        <w:ind w:left="426" w:hanging="826"/>
        <w:jc w:val="both"/>
        <w:rPr>
          <w:rFonts w:ascii="Arial" w:hAnsi="Arial" w:eastAsia="Times New Roman" w:cs="Arial"/>
          <w:b/>
          <w:b/>
          <w:lang w:eastAsia="pl-PL"/>
        </w:rPr>
      </w:pPr>
      <w:r>
        <w:rPr>
          <w:rFonts w:eastAsia="Times New Roman" w:cs="Arial" w:ascii="Arial" w:hAnsi="Arial"/>
          <w:b/>
          <w:lang w:eastAsia="pl-PL"/>
        </w:rPr>
        <w:t>XXI. OPIS KRYTERIÓW OCENY OFERT, WRAZ Z PODANIEM WAG TYCH KRYTERIÓW I SPOSOBU OCENY TYCH OFERT</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Przy wyborze najkorzystniejszej oferty Zamawiający będzie się kierował następującymi kryteriami oceny ofert (jednakowo dla wszystkich części):</w:t>
      </w:r>
    </w:p>
    <w:p>
      <w:pPr>
        <w:pStyle w:val="Normal"/>
        <w:numPr>
          <w:ilvl w:val="0"/>
          <w:numId w:val="19"/>
        </w:numPr>
        <w:tabs>
          <w:tab w:val="left" w:pos="900" w:leader="none"/>
        </w:tabs>
        <w:spacing w:before="0" w:after="0"/>
        <w:ind w:left="924" w:hanging="476"/>
        <w:jc w:val="both"/>
        <w:rPr/>
      </w:pPr>
      <w:r>
        <w:rPr>
          <w:rFonts w:eastAsia="Times New Roman" w:cs="Arial" w:ascii="Arial" w:hAnsi="Arial"/>
          <w:b/>
          <w:lang w:eastAsia="pl-PL"/>
        </w:rPr>
        <w:tab/>
        <w:t>CENA (C)</w:t>
      </w:r>
      <w:r>
        <w:rPr>
          <w:rFonts w:eastAsia="Times New Roman" w:cs="Arial" w:ascii="Arial" w:hAnsi="Arial"/>
          <w:lang w:eastAsia="pl-PL"/>
        </w:rPr>
        <w:t xml:space="preserve"> – waga kryterium 60 %;</w:t>
      </w:r>
    </w:p>
    <w:p>
      <w:pPr>
        <w:pStyle w:val="Normal"/>
        <w:numPr>
          <w:ilvl w:val="0"/>
          <w:numId w:val="19"/>
        </w:numPr>
        <w:tabs>
          <w:tab w:val="left" w:pos="900" w:leader="none"/>
          <w:tab w:val="left" w:pos="960" w:leader="none"/>
          <w:tab w:val="left" w:pos="1020" w:leader="none"/>
        </w:tabs>
        <w:spacing w:before="0" w:after="0"/>
        <w:ind w:left="924" w:hanging="476"/>
        <w:jc w:val="both"/>
        <w:rPr/>
      </w:pPr>
      <w:r>
        <w:rPr>
          <w:rFonts w:eastAsia="Times New Roman" w:cs="Arial" w:ascii="Arial" w:hAnsi="Arial"/>
          <w:b/>
          <w:bCs/>
          <w:caps/>
          <w:color w:val="00000A"/>
          <w:lang w:eastAsia="pl-PL"/>
        </w:rPr>
        <w:t>doświadczenie w wykonywaniu specjalistycznych usług opiekuńczych dla osób z zaburzeniami psychicznymi (d)</w:t>
      </w:r>
      <w:r>
        <w:rPr>
          <w:rFonts w:eastAsia="Times New Roman" w:cs="Arial" w:ascii="Arial" w:hAnsi="Arial"/>
          <w:lang w:eastAsia="pl-PL"/>
        </w:rPr>
        <w:t>– waga kryterium 40%.</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Zasady oceny ofert w poszczególnych kryteriach:</w:t>
      </w:r>
    </w:p>
    <w:p>
      <w:pPr>
        <w:pStyle w:val="Normal"/>
        <w:numPr>
          <w:ilvl w:val="0"/>
          <w:numId w:val="20"/>
        </w:numPr>
        <w:spacing w:before="0" w:after="0"/>
        <w:ind w:left="910" w:hanging="484"/>
        <w:contextualSpacing/>
        <w:jc w:val="both"/>
        <w:rPr/>
      </w:pPr>
      <w:r>
        <w:rPr>
          <w:rFonts w:eastAsia="Times New Roman" w:cs="Arial" w:ascii="Arial" w:hAnsi="Arial"/>
          <w:b/>
          <w:lang w:eastAsia="pl-PL"/>
        </w:rPr>
        <w:t>Cena (C) – waga 60 %</w:t>
      </w:r>
    </w:p>
    <w:p>
      <w:pPr>
        <w:pStyle w:val="Normal"/>
        <w:spacing w:before="0" w:after="0"/>
        <w:ind w:left="2124" w:hanging="0"/>
        <w:jc w:val="both"/>
        <w:rPr>
          <w:rFonts w:ascii="Arial" w:hAnsi="Arial" w:eastAsia="Times New Roman" w:cs="Arial"/>
          <w:b/>
          <w:b/>
          <w:lang w:eastAsia="pl-PL"/>
        </w:rPr>
      </w:pPr>
      <w:r>
        <w:rPr>
          <w:rFonts w:eastAsia="Times New Roman" w:cs="Arial" w:ascii="Arial" w:hAnsi="Arial"/>
          <w:b/>
          <w:lang w:eastAsia="pl-PL"/>
        </w:rPr>
        <w:t>cena najniższa brutto</w:t>
      </w:r>
    </w:p>
    <w:p>
      <w:pPr>
        <w:pStyle w:val="Normal"/>
        <w:spacing w:before="0" w:after="0"/>
        <w:ind w:left="1080" w:hanging="0"/>
        <w:jc w:val="both"/>
        <w:rPr>
          <w:rFonts w:ascii="Arial" w:hAnsi="Arial" w:eastAsia="Times New Roman" w:cs="Arial"/>
          <w:lang w:eastAsia="pl-PL"/>
        </w:rPr>
      </w:pPr>
      <w:r>
        <w:rPr>
          <w:rFonts w:eastAsia="Times New Roman" w:cs="Arial" w:ascii="Arial" w:hAnsi="Arial"/>
          <w:b/>
          <w:lang w:eastAsia="pl-PL"/>
        </w:rPr>
        <w:t>C =</w:t>
      </w:r>
      <w:r>
        <w:rPr>
          <w:rFonts w:eastAsia="Times New Roman" w:cs="Arial" w:ascii="Arial" w:hAnsi="Arial"/>
          <w:lang w:eastAsia="pl-PL"/>
        </w:rPr>
        <w:t xml:space="preserve"> </w:t>
      </w:r>
      <w:r>
        <w:rPr>
          <w:rFonts w:eastAsia="Times New Roman" w:cs="Arial" w:ascii="Arial" w:hAnsi="Arial"/>
          <w:strike/>
          <w:lang w:eastAsia="pl-PL"/>
        </w:rPr>
        <w:t xml:space="preserve">------------------------------------------------ </w:t>
      </w:r>
      <w:r>
        <w:rPr>
          <w:rFonts w:eastAsia="Times New Roman" w:cs="Arial" w:ascii="Arial" w:hAnsi="Arial"/>
          <w:lang w:eastAsia="pl-PL"/>
        </w:rPr>
        <w:t xml:space="preserve">  </w:t>
      </w:r>
      <w:r>
        <w:rPr>
          <w:rFonts w:eastAsia="Times New Roman" w:cs="Arial" w:ascii="Arial" w:hAnsi="Arial"/>
          <w:b/>
          <w:lang w:eastAsia="pl-PL"/>
        </w:rPr>
        <w:t xml:space="preserve">x 100 pkt x </w:t>
      </w:r>
      <w:r>
        <w:rPr>
          <w:rFonts w:eastAsia="Times New Roman" w:cs="Arial" w:ascii="Arial" w:hAnsi="Arial"/>
          <w:lang w:eastAsia="pl-PL"/>
        </w:rPr>
        <w:t xml:space="preserve">60 </w:t>
      </w:r>
      <w:r>
        <w:rPr>
          <w:rFonts w:eastAsia="Times New Roman" w:cs="Arial" w:ascii="Arial" w:hAnsi="Arial"/>
          <w:b/>
          <w:lang w:eastAsia="pl-PL"/>
        </w:rPr>
        <w:t>%</w:t>
      </w:r>
    </w:p>
    <w:p>
      <w:pPr>
        <w:pStyle w:val="Normal"/>
        <w:spacing w:before="0" w:after="0"/>
        <w:ind w:left="1736" w:hanging="0"/>
        <w:jc w:val="both"/>
        <w:rPr>
          <w:rFonts w:ascii="Arial" w:hAnsi="Arial" w:eastAsia="Times New Roman" w:cs="Arial"/>
          <w:b/>
          <w:b/>
          <w:lang w:eastAsia="pl-PL"/>
        </w:rPr>
      </w:pPr>
      <w:r>
        <w:rPr>
          <w:rFonts w:eastAsia="Times New Roman" w:cs="Arial" w:ascii="Arial" w:hAnsi="Arial"/>
          <w:b/>
          <w:lang w:eastAsia="pl-PL"/>
        </w:rPr>
        <w:t>cena oferty ocenianej brutto</w:t>
      </w:r>
    </w:p>
    <w:p>
      <w:pPr>
        <w:pStyle w:val="Normal"/>
        <w:spacing w:before="0" w:after="0"/>
        <w:ind w:left="372" w:firstLine="708"/>
        <w:jc w:val="both"/>
        <w:rPr/>
      </w:pPr>
      <w:r>
        <w:rPr>
          <w:rFonts w:eastAsia="Times New Roman" w:cs="Arial" w:ascii="Arial" w:hAnsi="Arial"/>
          <w:b/>
          <w:lang w:eastAsia="pl-PL"/>
        </w:rPr>
        <w:t>* spośród wszystkich złożonych ofert niepodlegających odrzuceniu</w:t>
      </w:r>
    </w:p>
    <w:p>
      <w:pPr>
        <w:pStyle w:val="Normal"/>
        <w:tabs>
          <w:tab w:val="left" w:pos="795" w:leader="none"/>
        </w:tabs>
        <w:spacing w:before="0" w:after="0"/>
        <w:ind w:left="372" w:firstLine="708"/>
        <w:jc w:val="both"/>
        <w:rPr>
          <w:rFonts w:ascii="Arial" w:hAnsi="Arial" w:eastAsia="Times New Roman" w:cs="Arial"/>
          <w:b/>
          <w:b/>
          <w:lang w:eastAsia="pl-PL"/>
        </w:rPr>
      </w:pPr>
      <w:r>
        <w:rPr>
          <w:rFonts w:eastAsia="Times New Roman" w:cs="Arial" w:ascii="Arial" w:hAnsi="Arial"/>
          <w:b/>
          <w:lang w:eastAsia="pl-PL"/>
        </w:rPr>
      </w:r>
    </w:p>
    <w:p>
      <w:pPr>
        <w:pStyle w:val="ListParagraph"/>
        <w:numPr>
          <w:ilvl w:val="0"/>
          <w:numId w:val="20"/>
        </w:numPr>
        <w:tabs>
          <w:tab w:val="left" w:pos="735" w:leader="none"/>
        </w:tabs>
        <w:spacing w:lineRule="auto" w:line="276" w:before="0" w:after="0"/>
        <w:contextualSpacing/>
        <w:jc w:val="both"/>
        <w:rPr/>
      </w:pPr>
      <w:r>
        <w:rPr>
          <w:rFonts w:eastAsia="Times New Roman" w:cs="Arial"/>
          <w:bCs/>
          <w:sz w:val="22"/>
          <w:szCs w:val="22"/>
          <w:lang w:eastAsia="zh-CN"/>
        </w:rPr>
        <w:t>Kryterium „</w:t>
      </w:r>
      <w:r>
        <w:rPr>
          <w:rFonts w:eastAsia="Times New Roman" w:cs="Arial"/>
          <w:b/>
          <w:bCs/>
          <w:caps/>
          <w:color w:val="00000A"/>
          <w:sz w:val="22"/>
          <w:szCs w:val="22"/>
          <w:lang w:eastAsia="pl-PL"/>
        </w:rPr>
        <w:t>doświadczenie w wykonywaniu specjalistycznych usług opiekuńczych dla osób z zaburzeniami psychicznymi</w:t>
      </w:r>
      <w:r>
        <w:rPr>
          <w:rFonts w:eastAsia="Times New Roman" w:cs="Arial"/>
          <w:bCs/>
          <w:color w:val="00000A"/>
          <w:sz w:val="22"/>
          <w:szCs w:val="22"/>
          <w:lang w:eastAsia="zh-CN"/>
        </w:rPr>
        <w:t>) – waga kryterium 40%.</w:t>
      </w:r>
    </w:p>
    <w:p>
      <w:pPr>
        <w:pStyle w:val="Normal"/>
        <w:jc w:val="both"/>
        <w:rPr>
          <w:sz w:val="22"/>
          <w:szCs w:val="22"/>
        </w:rPr>
      </w:pPr>
      <w:r>
        <w:rPr>
          <w:sz w:val="22"/>
          <w:szCs w:val="22"/>
        </w:rPr>
      </w:r>
    </w:p>
    <w:p>
      <w:pPr>
        <w:pStyle w:val="Normal"/>
        <w:jc w:val="both"/>
        <w:rPr>
          <w:sz w:val="22"/>
          <w:szCs w:val="22"/>
        </w:rPr>
      </w:pPr>
      <w:r>
        <w:rPr>
          <w:sz w:val="22"/>
          <w:szCs w:val="22"/>
        </w:rPr>
        <w:tab/>
      </w:r>
      <w:r>
        <w:rPr>
          <w:rFonts w:ascii="Arial" w:hAnsi="Arial"/>
          <w:sz w:val="22"/>
          <w:szCs w:val="22"/>
        </w:rPr>
        <w:t>a) za 2-3 lata 20 punktów</w:t>
      </w:r>
    </w:p>
    <w:p>
      <w:pPr>
        <w:pStyle w:val="Normal"/>
        <w:jc w:val="both"/>
        <w:rPr>
          <w:rFonts w:ascii="Arial" w:hAnsi="Arial"/>
          <w:sz w:val="22"/>
          <w:szCs w:val="22"/>
        </w:rPr>
      </w:pPr>
      <w:r>
        <w:rPr>
          <w:rFonts w:ascii="Arial" w:hAnsi="Arial"/>
          <w:sz w:val="22"/>
          <w:szCs w:val="22"/>
        </w:rPr>
        <w:tab/>
        <w:t xml:space="preserve">b) powyżej 3 lat do 4 lat – 30 punktów </w:t>
      </w:r>
    </w:p>
    <w:p>
      <w:pPr>
        <w:pStyle w:val="Normal"/>
        <w:jc w:val="both"/>
        <w:rPr>
          <w:rFonts w:ascii="Arial" w:hAnsi="Arial"/>
          <w:sz w:val="22"/>
          <w:szCs w:val="22"/>
        </w:rPr>
      </w:pPr>
      <w:r>
        <w:rPr>
          <w:rFonts w:ascii="Arial" w:hAnsi="Arial"/>
          <w:sz w:val="22"/>
          <w:szCs w:val="22"/>
        </w:rPr>
        <w:tab/>
        <w:t>c) powyżej 4 lat i więcej - 40 punktów.</w:t>
      </w:r>
    </w:p>
    <w:p>
      <w:pPr>
        <w:pStyle w:val="Normal"/>
        <w:spacing w:before="0" w:after="0"/>
        <w:ind w:left="448" w:right="-13" w:hanging="0"/>
        <w:jc w:val="both"/>
        <w:rPr>
          <w:rFonts w:ascii="Arial" w:hAnsi="Arial" w:eastAsia="Times New Roman" w:cs="Arial"/>
          <w:b/>
          <w:b/>
          <w:lang w:eastAsia="pl-PL"/>
        </w:rPr>
      </w:pPr>
      <w:r>
        <w:rPr>
          <w:rFonts w:eastAsia="Times New Roman" w:cs="Arial" w:ascii="Arial" w:hAnsi="Arial"/>
          <w:b/>
          <w:lang w:eastAsia="pl-PL"/>
        </w:rPr>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Punktacja przyznawana ofertom w poszczególnych kryteriach oceny ofert będzie liczona z dokładnością do dwóch miejsc po przecinku, zgodnie z zasadami arytmetyki.</w:t>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W toku badania i oceny ofert Zamawiający może żądać od Wykonawcy wyjaśnień dotyczących treści złożonej oferty, w tym zaoferowanej ceny.</w:t>
      </w:r>
    </w:p>
    <w:p>
      <w:pPr>
        <w:pStyle w:val="Normal"/>
        <w:numPr>
          <w:ilvl w:val="0"/>
          <w:numId w:val="17"/>
        </w:numPr>
        <w:spacing w:before="0" w:after="0"/>
        <w:ind w:left="448" w:hanging="426"/>
        <w:jc w:val="both"/>
        <w:rPr/>
      </w:pPr>
      <w:r>
        <w:rPr>
          <w:rFonts w:eastAsia="Times New Roman" w:cs="Arial" w:ascii="Arial" w:hAnsi="Arial"/>
          <w:lang w:eastAsia="pl-PL"/>
        </w:rPr>
        <w:t xml:space="preserve">Zamawiający udzieli zamówienia Wykonawcy, którego oferta zostanie uznana za najkorzystniejszą. </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XXII.INFORMACJE O FORMALNOŚCIACH, JAKIE POWINNY BYĆ DOPEŁNIONE PO WYBORZE OFERTY W CELU ZAWARCIA UMOWY W SPRAWIE ZAMÓWIENIA PUBLICZNEGO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zawiera umowę w sprawie zamówienia publicznego w terminie nie krótszym niż 5 dni od dnia przesłania zawiadomienia o wyborze najkorzystniejszej oferty.</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może zawrzeć umowę w sprawie zamówienia publicznego przed upływem terminu, o którym mowa w ust. 1, jeżeli w postępowaniu o udzielenie zamówienia prowadzonym w trybie</w:t>
        <w:tab/>
        <w:t>podstawowym złożono tylko jedną ofertę.</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Wykonawca będzie zobowiązany do podpisania umowy w miejscu i terminie wskazanym przez Zamawiającego.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przed podpisaniem Umowy zobowiązany jest złożyć Zamawiającemu wykaz osób skierowanych do świadczenia usług w ramach niniejszego zamówienia. Na potwierdzenie posiadania odpowiednich kwalifikacji Wykonawca złoży informacje i dokumenty  potwierdzające kwalifikacje zawodowe oraz uprawnienia niezbędne do wykonania zamówienia -kopie poświadczone za zgodność z oryginałem przez Wykonawcę, potwierdzające posiadanie odpowiednich kwalifikacji przez osoby skierowane do wykonania zamówienia. (nie dotyczy sytuacji, w której Zamawiający jest w posiadaniu tych dokumentów).</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 WYMAGANIA DOTYCZĄCE ZABEZPIE4CZENIA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wymaga</w:t>
      </w:r>
      <w:r>
        <w:rPr>
          <w:rFonts w:eastAsia="Times New Roman" w:cs="Arial" w:ascii="Arial" w:hAnsi="Arial"/>
          <w:lang w:eastAsia="pl-PL"/>
        </w:rPr>
        <w:t xml:space="preserve"> wniesienia zabezpieczenia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XXIV. INFORMACJE O TREŚCI ZAWIERANEJ UMOWY ORAZ MOŻLIWOŚCI JEJ ZMIANY.</w:t>
      </w:r>
    </w:p>
    <w:p>
      <w:pPr>
        <w:pStyle w:val="Normal"/>
        <w:numPr>
          <w:ilvl w:val="3"/>
          <w:numId w:val="9"/>
        </w:numPr>
        <w:spacing w:before="0" w:after="0"/>
        <w:ind w:left="462" w:hanging="462"/>
        <w:jc w:val="both"/>
        <w:rPr/>
      </w:pPr>
      <w:r>
        <w:rPr>
          <w:rFonts w:eastAsia="Times New Roman" w:cs="Arial" w:ascii="Arial" w:hAnsi="Arial"/>
          <w:lang w:eastAsia="pl-PL"/>
        </w:rPr>
        <w:t xml:space="preserve">Wybrany Wykonawca jest zobowiązany do zawarcia umowy w sprawie zamówienia publicznego na warunkach określonych we Wzorze Umowy, stanowiącym </w:t>
      </w:r>
      <w:r>
        <w:rPr>
          <w:rFonts w:eastAsia="Times New Roman" w:cs="Arial" w:ascii="Arial" w:hAnsi="Arial"/>
          <w:b/>
          <w:lang w:eastAsia="pl-PL"/>
        </w:rPr>
        <w:t>Załącznik nr 4 do SWZ</w:t>
      </w:r>
      <w:r>
        <w:rPr>
          <w:rFonts w:eastAsia="Times New Roman" w:cs="Arial" w:ascii="Arial" w:hAnsi="Arial"/>
          <w:lang w:eastAsia="pl-PL"/>
        </w:rPr>
        <w:t>.</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Zakres świadczenia Wykonawcy wynikający z umowy jest tożsamy z jego zobowiązaniem zawartym w ofercie.</w:t>
      </w:r>
    </w:p>
    <w:p>
      <w:pPr>
        <w:pStyle w:val="Normal"/>
        <w:numPr>
          <w:ilvl w:val="3"/>
          <w:numId w:val="9"/>
        </w:numPr>
        <w:spacing w:before="0" w:after="0"/>
        <w:ind w:left="462" w:hanging="462"/>
        <w:jc w:val="both"/>
        <w:rPr/>
      </w:pPr>
      <w:r>
        <w:rPr>
          <w:rFonts w:eastAsia="Times New Roman" w:cs="Arial" w:ascii="Arial" w:hAnsi="Arial"/>
          <w:lang w:eastAsia="pl-PL"/>
        </w:rPr>
        <w:t xml:space="preserve">Zamawiający przewiduje możliwość zmiany zawartej umowy w stosunku do treści wybranej oferty w zakresie uregulowanym w art. 454-455 p.z.p </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Zmiana umowy wymaga dla swej ważności, pod rygorem nieważności, zachowania formy pisemnej.</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 xml:space="preserve">XXV. POUCZENIE O ŚRODKACH OCHRONY PRAWNEJ PRZYSŁUGUJĄCYCH WYKONAWCY.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przysługuje na:</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1) niezgodną z przepisami ustawy czynność Zamawiającego, podjętą w postępowaniu o udzielenie zamówienia, w tym na projektowane postanowienie umowy;</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2) zaniechanie czynności w postępowaniu o udzielenie zamówienia do której zamawiający był obowiązany na podstawie ustawy;</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wnosi się do Prezesa Izby. Odwołujący przekazuje kopię odwołania zamawiającemu przed upływem terminu do wniesienia odwołania w taki sposób, aby mógł on zapoznać się z jego treścią przed upływem tego terminu.</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5.</w:t>
      </w:r>
      <w:r>
        <w:rPr>
          <w:rFonts w:eastAsia="Times New Roman" w:cs="Arial" w:ascii="Arial" w:hAnsi="Arial"/>
          <w:lang w:eastAsia="pl-PL"/>
        </w:rPr>
        <w:tab/>
        <w:t>Odwołanie wobec treści ogłoszenia lub treści SWZ wnosi się w terminie 5 dni od dnia zamieszczenia ogłoszenia w Biuletynie Zamówień Publicznych lub treści SWZ na stronie internetowej.</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6.</w:t>
      </w:r>
      <w:r>
        <w:rPr>
          <w:rFonts w:eastAsia="Times New Roman" w:cs="Arial" w:ascii="Arial" w:hAnsi="Arial"/>
          <w:lang w:eastAsia="pl-PL"/>
        </w:rPr>
        <w:tab/>
        <w:t>Odwołanie wnosi się w terminie:</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1) 5 dni od dnia przekazania informacji o czynności zamawiającego stanowiącej podstawę jego wniesienia, jeżeli informacja została przekazana przy użyciu środków komunikacji elektronicznej,</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2) 10 dni od dnia przekazania informacji o czynności zamawiającego stanowiącej podstawę jego wniesienia, jeżeli informacja została przekazana w sposób inny niż określony w pkt 1).</w:t>
      </w:r>
    </w:p>
    <w:p>
      <w:pPr>
        <w:pStyle w:val="Normal"/>
        <w:suppressAutoHyphens w:val="true"/>
        <w:spacing w:before="0" w:after="0"/>
        <w:ind w:left="448" w:hanging="448"/>
        <w:jc w:val="both"/>
        <w:rPr>
          <w:rFonts w:ascii="Arial" w:hAnsi="Arial" w:eastAsia="Times New Roman" w:cs="Arial"/>
          <w:lang w:eastAsia="pl-PL"/>
        </w:rPr>
      </w:pPr>
      <w:r>
        <w:rPr>
          <w:rFonts w:eastAsia="Times New Roman" w:cs="Arial" w:ascii="Arial" w:hAnsi="Arial"/>
          <w:b/>
          <w:bCs/>
          <w:lang w:eastAsia="pl-PL"/>
        </w:rPr>
        <w:t>7.</w:t>
        <w:tab/>
      </w:r>
      <w:r>
        <w:rPr>
          <w:rFonts w:eastAsia="Times New Roman" w:cs="Arial" w:ascii="Arial" w:hAnsi="Arial"/>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Na orzeczenie Izby oraz postanowienie Prezesa Izby, o którym mowa w art. 519 ust. 1 ustawy p.z.p., stronom oraz uczestnikom postępowania odwoławczego przysługuje skarga do sądu.</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W postępowaniu toczącym się wskutek wniesienia skargi stosuje się odpowiednio przepisy ustawy z dnia 17 listopada 1964 r. - Kodeks postępowania cywilnego o apelacji, jeżeli przepisy niniejszego rozdziału nie stanowią inaczej.</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do Sądu Okręgowego w Warszawie - sądu zamówień publicznych, zwanego dalej "sądem zamówień publicznych".</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0"/>
          <w:numId w:val="17"/>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Prezes Izby przekazuje skargę wraz z aktami postępowania odwoławczego do sądu zamówień publicznych w terminie 7 dni od dnia jej otrzymania.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XXVI. WYKAZ ZAŁĄCZNIKÓW DO SWZ</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 xml:space="preserve">Załącznik nr 1 Formularz oferty </w:t>
      </w:r>
    </w:p>
    <w:p>
      <w:pPr>
        <w:pStyle w:val="Normal"/>
        <w:numPr>
          <w:ilvl w:val="0"/>
          <w:numId w:val="26"/>
        </w:numPr>
        <w:suppressAutoHyphens w:val="true"/>
        <w:spacing w:before="0" w:after="0"/>
        <w:ind w:left="284" w:hanging="284"/>
        <w:jc w:val="both"/>
        <w:rPr/>
      </w:pPr>
      <w:r>
        <w:rPr>
          <w:rFonts w:eastAsia="Times New Roman" w:cs="Arial" w:ascii="Arial" w:hAnsi="Arial"/>
          <w:lang w:eastAsia="pl-PL"/>
        </w:rPr>
        <w:t>Załącznik nr 2 Oświadczenie o braku podstaw do wykluczenia i o spełnieniu warunków udziału w postępowaniu ( składane z ofertą) Zobowiązanie innego podmiotu do udostępnienia niezbędnych zasobów Wykonawcy ( zaznaczyć jeśli dotyczy )</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3 Opis przedmiotu zamówienia (OPZ)</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4 Wzór umowy</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5 Oświadczenie dotyczące przynależności lub braku przynależności do tej samej grupy kapitałowej (składane na wezwane Zamawiającego)</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pPr>
      <w:r>
        <w:rPr>
          <w:rFonts w:eastAsia="Times New Roman" w:cs="Arial" w:ascii="Arial" w:hAnsi="Arial"/>
          <w:color w:val="auto"/>
          <w:lang w:eastAsia="pl-PL"/>
        </w:rPr>
        <w:t xml:space="preserve">Gostynin, </w:t>
      </w:r>
      <w:r>
        <w:rPr>
          <w:rFonts w:eastAsia="Times New Roman" w:cs="Arial" w:ascii="Arial" w:hAnsi="Arial"/>
          <w:color w:val="auto"/>
          <w:lang w:eastAsia="pl-PL"/>
        </w:rPr>
        <w:t>18.11.2021r.</w:t>
      </w:r>
      <w:r>
        <w:rPr>
          <w:rFonts w:eastAsia="Times New Roman" w:cs="Arial" w:ascii="Arial" w:hAnsi="Arial"/>
          <w:color w:val="FF3333"/>
          <w:lang w:eastAsia="pl-PL"/>
        </w:rPr>
        <w:tab/>
      </w:r>
      <w:r>
        <w:rPr>
          <w:rFonts w:eastAsia="Times New Roman" w:cs="Arial" w:ascii="Arial" w:hAnsi="Arial"/>
          <w:lang w:eastAsia="pl-PL"/>
        </w:rPr>
        <w:tab/>
        <w:tab/>
        <w:tab/>
        <w:tab/>
        <w:tab/>
        <w:tab/>
        <w:tab/>
      </w:r>
      <w:r>
        <w:rPr>
          <w:rFonts w:eastAsia="Times New Roman" w:cs="Arial" w:ascii="Arial" w:hAnsi="Arial"/>
          <w:bCs/>
          <w:lang w:eastAsia="pl-PL"/>
        </w:rPr>
        <w:tab/>
        <w:tab/>
        <w:tab/>
        <w:tab/>
        <w:tab/>
        <w:tab/>
        <w:tab/>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
    <w:lvl w:ilvl="0">
      <w:start w:val="1"/>
      <w:numFmt w:val="decimal"/>
      <w:lvlText w:val="%1."/>
      <w:lvlJc w:val="left"/>
      <w:pPr>
        <w:tabs>
          <w:tab w:val="num" w:pos="454"/>
        </w:tabs>
        <w:ind w:left="454" w:hanging="454"/>
      </w:pPr>
      <w:rPr>
        <w:b/>
        <w:rFonts w:ascii="Arial" w:hAnsi="Arial" w:cs="Times New Roman"/>
      </w:rPr>
    </w:lvl>
    <w:lvl w:ilvl="1">
      <w:start w:val="1"/>
      <w:numFmt w:val="lowerLetter"/>
      <w:lvlText w:val="%2)"/>
      <w:lvlJc w:val="left"/>
      <w:pPr>
        <w:ind w:left="884" w:hanging="360"/>
      </w:pPr>
      <w:rPr>
        <w:sz w:val="20"/>
        <w:b w:val="false"/>
      </w:rPr>
    </w:lvl>
    <w:lvl w:ilvl="2">
      <w:start w:val="1"/>
      <w:numFmt w:val="decimal"/>
      <w:lvlText w:val="%3)"/>
      <w:lvlJc w:val="left"/>
      <w:pPr>
        <w:ind w:left="1784" w:hanging="360"/>
      </w:pPr>
      <w:rPr>
        <w:b/>
        <w:bCs/>
        <w:rFonts w:ascii="Arial" w:hAnsi="Arial" w:cs="Times New Roman"/>
      </w:rPr>
    </w:lvl>
    <w:lvl w:ilvl="3">
      <w:start w:val="1"/>
      <w:numFmt w:val="decimal"/>
      <w:lvlText w:val="%4."/>
      <w:lvlJc w:val="left"/>
      <w:pPr>
        <w:tabs>
          <w:tab w:val="num" w:pos="2324"/>
        </w:tabs>
        <w:ind w:left="2324" w:hanging="360"/>
      </w:pPr>
      <w:rPr>
        <w:b/>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3">
    <w:lvl w:ilvl="0">
      <w:start w:val="1"/>
      <w:numFmt w:val="decimal"/>
      <w:lvlText w:val="%1."/>
      <w:lvlJc w:val="left"/>
      <w:pPr>
        <w:tabs>
          <w:tab w:val="num" w:pos="1009"/>
        </w:tabs>
        <w:ind w:left="1009" w:hanging="453"/>
      </w:pPr>
      <w:rPr>
        <w:b/>
        <w:rFonts w:ascii="Arial" w:hAnsi="Arial" w:cs="Times New Roman"/>
      </w:rPr>
    </w:lvl>
    <w:lvl w:ilvl="1">
      <w:start w:val="1"/>
      <w:numFmt w:val="lowerLetter"/>
      <w:lvlText w:val="%2)"/>
      <w:lvlJc w:val="left"/>
      <w:pPr>
        <w:ind w:left="1440" w:hanging="360"/>
      </w:pPr>
      <w:rPr>
        <w:rFonts w:ascii="Arial" w:hAnsi="Arial"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b/>
        <w:rFonts w:ascii="Arial" w:hAnsi="Arial" w:cs="Times New Roman"/>
      </w:rPr>
    </w:lvl>
    <w:lvl w:ilvl="4">
      <w:start w:val="14"/>
      <w:numFmt w:val="upperRoman"/>
      <w:lvlText w:val="%5."/>
      <w:lvlJc w:val="left"/>
      <w:pPr>
        <w:ind w:left="3960" w:hanging="72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502" w:hanging="360"/>
      </w:pPr>
      <w:rPr>
        <w:b/>
        <w:rFonts w:ascii="Arial" w:hAnsi="Arial"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lvl w:ilvl="0">
      <w:start w:val="1"/>
      <w:numFmt w:val="decimal"/>
      <w:lvlText w:val="%1."/>
      <w:lvlJc w:val="left"/>
      <w:pPr>
        <w:ind w:left="1146" w:hanging="360"/>
      </w:pPr>
      <w:rPr>
        <w:b/>
        <w:rFonts w:ascii="Arial" w:hAnsi="Arial" w:eastAsia="Times New Roman" w:cs="Arial"/>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
    <w:lvl w:ilvl="0">
      <w:start w:val="1"/>
      <w:numFmt w:val="decimal"/>
      <w:lvlText w:val="%1."/>
      <w:lvlJc w:val="left"/>
      <w:pPr>
        <w:tabs>
          <w:tab w:val="num" w:pos="453"/>
        </w:tabs>
        <w:ind w:left="453" w:hanging="453"/>
      </w:pPr>
      <w:rPr>
        <w:b/>
        <w:rFonts w:ascii="Arial" w:hAnsi="Arial" w:cs="Times New Roman"/>
        <w:color w:val="00000A"/>
      </w:rPr>
    </w:lvl>
    <w:lvl w:ilvl="1">
      <w:start w:val="1"/>
      <w:numFmt w:val="lowerLetter"/>
      <w:lvlText w:val="%2."/>
      <w:lvlJc w:val="left"/>
      <w:pPr>
        <w:ind w:left="164"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7">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9">
    <w:lvl w:ilvl="0">
      <w:start w:val="1"/>
      <w:numFmt w:val="decimal"/>
      <w:lvlText w:val="%1)"/>
      <w:lvlJc w:val="left"/>
      <w:pPr>
        <w:tabs>
          <w:tab w:val="num" w:pos="720"/>
        </w:tabs>
        <w:ind w:left="720" w:hanging="360"/>
      </w:pPr>
      <w:rPr>
        <w:b w:val="false"/>
        <w:rFonts w:eastAsia="Times New Roman" w:cs="Segoe U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tabs>
          <w:tab w:val="num" w:pos="2880"/>
        </w:tabs>
        <w:ind w:left="2880" w:hanging="360"/>
      </w:pPr>
      <w:rPr>
        <w:b/>
        <w:rFonts w:ascii="Arial" w:hAnsi="Arial"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360"/>
        </w:tabs>
        <w:ind w:left="360" w:hanging="360"/>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lvl w:ilvl="0">
      <w:start w:val="1"/>
      <w:numFmt w:val="decimal"/>
      <w:lvlText w:val="%1."/>
      <w:lvlJc w:val="left"/>
      <w:pPr>
        <w:tabs>
          <w:tab w:val="num" w:pos="360"/>
        </w:tabs>
        <w:ind w:left="360" w:hanging="360"/>
      </w:pPr>
      <w:rPr>
        <w:b/>
        <w:rFonts w:ascii="Arial" w:hAnsi="Arial" w:cs="Times New Roman"/>
      </w:rPr>
    </w:lvl>
    <w:lvl w:ilvl="1">
      <w:start w:val="1"/>
      <w:numFmt w:val="decimal"/>
      <w:lvlText w:val="%2)"/>
      <w:lvlJc w:val="left"/>
      <w:pPr>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b/>
        <w:rFonts w:cs="Times New Roman"/>
        <w:color w:val="00000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lvl w:ilvl="0">
      <w:start w:val="1"/>
      <w:numFmt w:val="decimal"/>
      <w:lvlText w:val="%1."/>
      <w:lvlJc w:val="left"/>
      <w:pPr>
        <w:tabs>
          <w:tab w:val="num" w:pos="1009"/>
        </w:tabs>
        <w:ind w:left="0" w:hanging="360"/>
      </w:pPr>
      <w:rPr>
        <w:smallCaps w:val="false"/>
        <w:caps w:val="false"/>
        <w:dstrike w:val="false"/>
        <w:strike w:val="false"/>
        <w:sz w:val="20"/>
        <w:spacing w:val="0"/>
        <w:i w:val="false"/>
        <w:u w:val="none"/>
        <w:b/>
        <w:szCs w:val="20"/>
        <w:iCs w:val="false"/>
        <w:bCs w:val="false"/>
        <w:w w:val="100"/>
        <w:rFonts w:ascii="Arial" w:hAnsi="Arial" w:eastAsia="Times New Roman" w:cs="Arial"/>
        <w:color w:val="000000"/>
      </w:rPr>
    </w:lvl>
    <w:lvl w:ilvl="1">
      <w:start w:val="1"/>
      <w:numFmt w:val="decimal"/>
      <w:lvlText w:val="%2)"/>
      <w:lvlJc w:val="left"/>
      <w:pPr>
        <w:ind w:left="697" w:hanging="360"/>
      </w:pPr>
      <w:rPr>
        <w:smallCaps w:val="false"/>
        <w:caps w:val="false"/>
        <w:dstrike w:val="false"/>
        <w:strike w:val="false"/>
        <w:sz w:val="19"/>
        <w:spacing w:val="0"/>
        <w:i w:val="false"/>
        <w:u w:val="none"/>
        <w:b/>
        <w:szCs w:val="19"/>
        <w:iCs w:val="false"/>
        <w:bCs w:val="false"/>
        <w:w w:val="100"/>
        <w:rFonts w:eastAsia="Times New Roman" w:cs="Arial"/>
        <w:color w:val="000000"/>
      </w:rPr>
    </w:lvl>
    <w:lvl w:ilvl="2">
      <w:start w:val="1"/>
      <w:numFmt w:val="none"/>
      <w:suff w:val="nothing"/>
      <w:lvlText w:val=""/>
      <w:lvlJc w:val="left"/>
      <w:pPr>
        <w:ind w:left="697" w:hanging="360"/>
      </w:pPr>
      <w:rPr>
        <w:rFonts w:cs="Times New Roman"/>
      </w:rPr>
    </w:lvl>
    <w:lvl w:ilvl="3">
      <w:start w:val="1"/>
      <w:numFmt w:val="none"/>
      <w:suff w:val="nothing"/>
      <w:lvlText w:val=""/>
      <w:lvlJc w:val="left"/>
      <w:pPr>
        <w:ind w:left="697" w:hanging="360"/>
      </w:pPr>
      <w:rPr>
        <w:rFonts w:cs="Times New Roman"/>
      </w:rPr>
    </w:lvl>
    <w:lvl w:ilvl="4">
      <w:start w:val="1"/>
      <w:numFmt w:val="none"/>
      <w:suff w:val="nothing"/>
      <w:lvlText w:val=""/>
      <w:lvlJc w:val="left"/>
      <w:pPr>
        <w:ind w:left="697" w:hanging="360"/>
      </w:pPr>
      <w:rPr>
        <w:rFonts w:cs="Times New Roman"/>
      </w:rPr>
    </w:lvl>
    <w:lvl w:ilvl="5">
      <w:start w:val="1"/>
      <w:numFmt w:val="none"/>
      <w:suff w:val="nothing"/>
      <w:lvlText w:val=""/>
      <w:lvlJc w:val="left"/>
      <w:pPr>
        <w:ind w:left="697" w:hanging="360"/>
      </w:pPr>
      <w:rPr>
        <w:rFonts w:cs="Times New Roman"/>
      </w:rPr>
    </w:lvl>
    <w:lvl w:ilvl="6">
      <w:start w:val="1"/>
      <w:numFmt w:val="none"/>
      <w:suff w:val="nothing"/>
      <w:lvlText w:val=""/>
      <w:lvlJc w:val="left"/>
      <w:pPr>
        <w:ind w:left="697" w:hanging="360"/>
      </w:pPr>
      <w:rPr>
        <w:rFonts w:cs="Times New Roman"/>
      </w:rPr>
    </w:lvl>
    <w:lvl w:ilvl="7">
      <w:start w:val="1"/>
      <w:numFmt w:val="none"/>
      <w:suff w:val="nothing"/>
      <w:lvlText w:val=""/>
      <w:lvlJc w:val="left"/>
      <w:pPr>
        <w:ind w:left="697" w:hanging="360"/>
      </w:pPr>
      <w:rPr>
        <w:rFonts w:cs="Times New Roman"/>
      </w:rPr>
    </w:lvl>
    <w:lvl w:ilvl="8">
      <w:start w:val="1"/>
      <w:numFmt w:val="none"/>
      <w:suff w:val="nothing"/>
      <w:lvlText w:val=""/>
      <w:lvlJc w:val="left"/>
      <w:pPr>
        <w:ind w:left="697" w:hanging="360"/>
      </w:pPr>
      <w:rPr>
        <w:rFonts w:cs="Times New Roman"/>
      </w:rPr>
    </w:lvl>
  </w:abstractNum>
  <w:abstractNum w:abstractNumId="15">
    <w:lvl w:ilvl="0">
      <w:start w:val="1"/>
      <w:numFmt w:val="decimal"/>
      <w:lvlText w:val="%1"/>
      <w:lvlJc w:val="left"/>
      <w:pPr>
        <w:tabs>
          <w:tab w:val="num" w:pos="1009"/>
        </w:tabs>
        <w:ind w:left="1009" w:hanging="453"/>
      </w:pPr>
      <w:rPr>
        <w:sz w:val="20"/>
        <w:i w:val="false"/>
        <w:b/>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lvl w:ilvl="0">
      <w:start w:val="1"/>
      <w:numFmt w:val="decimal"/>
      <w:lvlText w:val="%1."/>
      <w:lvlJc w:val="left"/>
      <w:pPr>
        <w:ind w:left="1004" w:hanging="720"/>
      </w:pPr>
      <w:rPr>
        <w:b/>
        <w:rFonts w:ascii="Arial" w:hAnsi="Arial" w:eastAsia="Times New Roman" w:cs="Arial"/>
        <w:color w:val="00000A"/>
      </w:rPr>
    </w:lvl>
    <w:lvl w:ilvl="1">
      <w:start w:val="1"/>
      <w:numFmt w:val="decimal"/>
      <w:lvlText w:val="%2."/>
      <w:lvlJc w:val="left"/>
      <w:pPr>
        <w:ind w:left="1004" w:hanging="360"/>
      </w:pPr>
      <w:rPr>
        <w:b w:val="false"/>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decimal"/>
      <w:lvlText w:val="%6."/>
      <w:lvlJc w:val="right"/>
      <w:pPr>
        <w:ind w:left="4604" w:hanging="180"/>
      </w:pPr>
      <w:rPr>
        <w:rFonts w:eastAsia="Times New Roman" w:cs="Arial"/>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lvl w:ilvl="0">
      <w:start w:val="1"/>
      <w:numFmt w:val="decimal"/>
      <w:lvlText w:val="%1."/>
      <w:lvlJc w:val="left"/>
      <w:pPr>
        <w:tabs>
          <w:tab w:val="num" w:pos="1800"/>
        </w:tabs>
        <w:ind w:left="1800" w:hanging="363"/>
      </w:pPr>
      <w:rPr>
        <w:b/>
        <w:rFonts w:ascii="Arial" w:hAnsi="Arial" w:eastAsia="Times New Roman"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decimal"/>
      <w:lvlText w:val="%1)"/>
      <w:lvlJc w:val="left"/>
      <w:pPr>
        <w:ind w:left="1440" w:hanging="360"/>
      </w:pPr>
      <w:rPr>
        <w:b/>
        <w:rFonts w:ascii="Arial" w:hAnsi="Arial" w:cs="Times New Roman"/>
        <w:color w:val="00000A"/>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9">
    <w:lvl w:ilvl="0">
      <w:start w:val="1"/>
      <w:numFmt w:val="decimal"/>
      <w:lvlText w:val="%1)"/>
      <w:lvlJc w:val="left"/>
      <w:pPr>
        <w:ind w:left="1068" w:hanging="360"/>
      </w:pPr>
      <w:rPr>
        <w:b/>
        <w:rFonts w:eastAsia="Times New Roman" w:cs="Arial"/>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0">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1">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84" w:hanging="360"/>
      </w:pPr>
      <w:rPr>
        <w:sz w:val="22"/>
        <w:szCs w:val="22"/>
        <w:rFonts w:ascii="Arial" w:hAnsi="Arial"/>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lvl w:ilvl="0">
      <w:start w:val="1"/>
      <w:numFmt w:val="decimal"/>
      <w:lvlText w:val="%1)"/>
      <w:lvlJc w:val="left"/>
      <w:pPr>
        <w:ind w:left="1244" w:hanging="360"/>
      </w:pPr>
      <w:rPr>
        <w:rFonts w:ascii="Arial" w:hAnsi="Arial" w:eastAsia="Times New Roman" w:cs="Arial"/>
      </w:r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23">
    <w:lvl w:ilvl="0">
      <w:start w:val="1"/>
      <w:numFmt w:val="decimal"/>
      <w:lvlText w:val="%1"/>
      <w:lvlJc w:val="left"/>
      <w:pPr>
        <w:ind w:left="720" w:hanging="360"/>
      </w:pPr>
      <w:rPr>
        <w:u w:val="none" w:color="FFFFFF"/>
        <w:color w:val="00000A"/>
      </w:rPr>
    </w:lvl>
    <w:lvl w:ilvl="1">
      <w:start w:val="1"/>
      <w:numFmt w:val="lowerLetter"/>
      <w:lvlText w:val="%2."/>
      <w:lvlJc w:val="left"/>
      <w:pPr>
        <w:ind w:left="1440" w:hanging="360"/>
      </w:pPr>
    </w:lvl>
    <w:lvl w:ilvl="2">
      <w:start w:val="15"/>
      <w:numFmt w:val="decimal"/>
      <w:lvlText w:val="%3."/>
      <w:lvlJc w:val="left"/>
      <w:pPr>
        <w:ind w:left="2340" w:hanging="360"/>
      </w:pPr>
    </w:lvl>
    <w:lvl w:ilvl="3">
      <w:start w:val="10"/>
      <w:numFmt w:val="decimal"/>
      <w:lvlText w:val="%4"/>
      <w:lvlJc w:val="left"/>
      <w:pPr>
        <w:ind w:left="2880" w:hanging="360"/>
      </w:pPr>
    </w:lvl>
    <w:lvl w:ilvl="4">
      <w:start w:val="14"/>
      <w:numFmt w:val="upperRoman"/>
      <w:lvlText w:val="%5."/>
      <w:lvlJc w:val="left"/>
      <w:pPr>
        <w:ind w:left="3960" w:hanging="720"/>
      </w:pPr>
    </w:lvl>
    <w:lvl w:ilvl="5">
      <w:start w:val="1"/>
      <w:numFmt w:val="lowerLetter"/>
      <w:lvlText w:val="%6)"/>
      <w:lvlJc w:val="left"/>
      <w:pPr>
        <w:ind w:left="4500" w:hanging="360"/>
      </w:pPr>
      <w:rPr>
        <w:sz w:val="20"/>
        <w:b w:val="false"/>
        <w:color w:val="00000A"/>
      </w:r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lvl w:ilvl="0">
      <w:start w:val="1"/>
      <w:numFmt w:val="decimal"/>
      <w:lvlText w:val="%1"/>
      <w:lvlJc w:val="left"/>
      <w:pPr>
        <w:ind w:left="720" w:hanging="360"/>
      </w:pPr>
      <w:rPr>
        <w:u w:val="none" w:color="FFFFFF"/>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lowerLetter"/>
      <w:lvlText w:val="%1)"/>
      <w:lvlJc w:val="left"/>
      <w:pPr>
        <w:ind w:left="1713" w:hanging="360"/>
      </w:pPr>
      <w:rPr>
        <w:sz w:val="20"/>
        <w:b w:val="false"/>
        <w:rFonts w:ascii="Arial" w:hAnsi="Arial"/>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720" w:hanging="360"/>
      </w:pPr>
      <w:rPr>
        <w:rFonts w:cs="Times New Roman"/>
      </w:rPr>
    </w:lvl>
    <w:lvl w:ilvl="1">
      <w:start w:val="1"/>
      <w:numFmt w:val="decimal"/>
      <w:lvlText w:val="%2)"/>
      <w:lvlJc w:val="left"/>
      <w:pPr>
        <w:ind w:left="786"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lowerLetter"/>
      <w:lvlText w:val="(%1)"/>
      <w:lvlJc w:val="left"/>
      <w:pPr>
        <w:ind w:left="0" w:hanging="0"/>
      </w:pPr>
    </w:lvl>
    <w:lvl w:ilvl="1">
      <w:start w:val="1"/>
      <w:numFmt w:val="lowerLetter"/>
      <w:lvlText w:val="%2."/>
      <w:lvlJc w:val="left"/>
      <w:pPr>
        <w:ind w:left="0" w:hanging="0"/>
      </w:pPr>
      <w:rPr>
        <w:sz w:val="22"/>
        <w:szCs w:val="22"/>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32">
    <w:lvl w:ilvl="0">
      <w:start w:val="1"/>
      <w:numFmt w:val="decimal"/>
      <w:lvlText w:val="%1."/>
      <w:lvlJc w:val="left"/>
      <w:pPr>
        <w:ind w:left="31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ind w:left="0" w:hanging="0"/>
      </w:pPr>
      <w:rPr>
        <w:sz w:val="22"/>
        <w:szCs w:val="22"/>
        <w:rFonts w:ascii="Arial" w:hAnsi="Arial"/>
      </w:rPr>
    </w:lvl>
    <w:lvl w:ilvl="1">
      <w:start w:val="1"/>
      <w:numFmt w:val="lowerLetter"/>
      <w:lvlText w:val="%2."/>
      <w:lvlJc w:val="left"/>
      <w:pPr>
        <w:ind w:left="0" w:hanging="0"/>
      </w:pPr>
      <w:rPr>
        <w:sz w:val="22"/>
        <w:szCs w:val="22"/>
        <w:rFonts w:ascii="Arial" w:hAnsi="Arial"/>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34">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lowerLetter"/>
      <w:lvlText w:val="%1."/>
      <w:lvlJc w:val="left"/>
      <w:pPr>
        <w:tabs>
          <w:tab w:val="num" w:pos="708"/>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2"/>
      <w:numFmt w:val="decimal"/>
      <w:lvlText w:val="%1."/>
      <w:lvlJc w:val="left"/>
      <w:pPr>
        <w:ind w:left="1068" w:hanging="360"/>
      </w:pPr>
      <w:rPr>
        <w:sz w:val="22"/>
        <w:rFonts w:ascii="Arial" w:hAnsi="Arial"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5"/>
      <w:numFmt w:val="decimal"/>
      <w:lvlText w:val="%1."/>
      <w:lvlJc w:val="left"/>
      <w:pPr>
        <w:tabs>
          <w:tab w:val="num" w:pos="1440"/>
        </w:tabs>
        <w:ind w:left="1440" w:hanging="360"/>
      </w:pPr>
      <w:rPr>
        <w:sz w:val="22"/>
        <w:b w:val="false"/>
        <w:bCs/>
        <w:rFonts w:ascii="Arial" w:hAnsi="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2"/>
      <w:numFmt w:val="decimal"/>
      <w:lvlText w:val="%1."/>
      <w:lvlJc w:val="left"/>
      <w:pPr>
        <w:ind w:left="0" w:hanging="0"/>
      </w:pPr>
      <w:rPr>
        <w:sz w:val="22"/>
        <w:szCs w:val="22"/>
        <w:rFonts w:ascii="Arial" w:hAnsi="Arial"/>
      </w:rPr>
    </w:lvl>
    <w:lvl w:ilvl="1">
      <w:start w:val="1"/>
      <w:numFmt w:val="decimal"/>
      <w:lvlText w:val="%2."/>
      <w:lvlJc w:val="left"/>
      <w:pPr>
        <w:ind w:left="0" w:hanging="0"/>
      </w:pPr>
      <w:rPr>
        <w:sz w:val="22"/>
        <w:szCs w:val="22"/>
      </w:rPr>
    </w:lvl>
    <w:lvl w:ilvl="2">
      <w:start w:val="1"/>
      <w:numFmt w:val="decimal"/>
      <w:lvlText w:val="%3."/>
      <w:lvlJc w:val="left"/>
      <w:pPr>
        <w:ind w:left="0" w:hanging="0"/>
      </w:pPr>
      <w:rPr>
        <w:sz w:val="22"/>
        <w:szCs w:val="22"/>
      </w:rPr>
    </w:lvl>
    <w:lvl w:ilvl="3">
      <w:start w:val="1"/>
      <w:numFmt w:val="decimal"/>
      <w:lvlText w:val="%4."/>
      <w:lvlJc w:val="left"/>
      <w:pPr>
        <w:ind w:left="0" w:hanging="0"/>
      </w:pPr>
      <w:rPr>
        <w:sz w:val="22"/>
        <w:szCs w:val="22"/>
      </w:rPr>
    </w:lvl>
    <w:lvl w:ilvl="4">
      <w:start w:val="1"/>
      <w:numFmt w:val="decimal"/>
      <w:lvlText w:val="%5."/>
      <w:lvlJc w:val="left"/>
      <w:pPr>
        <w:ind w:left="0" w:hanging="0"/>
      </w:pPr>
      <w:rPr>
        <w:sz w:val="22"/>
        <w:szCs w:val="22"/>
      </w:rPr>
    </w:lvl>
    <w:lvl w:ilvl="5">
      <w:start w:val="1"/>
      <w:numFmt w:val="decimal"/>
      <w:lvlText w:val="%6."/>
      <w:lvlJc w:val="left"/>
      <w:pPr>
        <w:ind w:left="0" w:hanging="0"/>
      </w:pPr>
      <w:rPr>
        <w:sz w:val="22"/>
        <w:szCs w:val="22"/>
      </w:rPr>
    </w:lvl>
    <w:lvl w:ilvl="6">
      <w:start w:val="1"/>
      <w:numFmt w:val="decimal"/>
      <w:lvlText w:val="%7."/>
      <w:lvlJc w:val="left"/>
      <w:pPr>
        <w:ind w:left="0" w:hanging="0"/>
      </w:pPr>
      <w:rPr>
        <w:sz w:val="22"/>
        <w:szCs w:val="22"/>
      </w:rPr>
    </w:lvl>
    <w:lvl w:ilvl="7">
      <w:start w:val="1"/>
      <w:numFmt w:val="decimal"/>
      <w:lvlText w:val="%8."/>
      <w:lvlJc w:val="left"/>
      <w:pPr>
        <w:ind w:left="0" w:hanging="0"/>
      </w:pPr>
      <w:rPr>
        <w:sz w:val="22"/>
        <w:szCs w:val="22"/>
      </w:rPr>
    </w:lvl>
    <w:lvl w:ilvl="8">
      <w:start w:val="1"/>
      <w:numFmt w:val="decimal"/>
      <w:lvlText w:val="%9."/>
      <w:lvlJc w:val="left"/>
      <w:pPr>
        <w:ind w:left="0" w:hanging="0"/>
      </w:pPr>
      <w:rPr>
        <w:sz w:val="22"/>
        <w:szCs w:val="22"/>
      </w:rPr>
    </w:lvl>
  </w:abstractNum>
  <w:abstractNum w:abstractNumId="43">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3">
    <w:name w:val="Nagłówek 3"/>
    <w:basedOn w:val="Normal"/>
    <w:link w:val="Nagwek3Znak"/>
    <w:qFormat/>
    <w:rsid w:val="008d2d78"/>
    <w:pPr>
      <w:keepNext/>
      <w:spacing w:lineRule="auto" w:line="240" w:before="0" w:after="0"/>
      <w:jc w:val="both"/>
      <w:outlineLvl w:val="2"/>
    </w:pPr>
    <w:rPr>
      <w:rFonts w:ascii="Times New Roman" w:hAnsi="Times New Roman" w:eastAsia="Times New Roman" w:cs="Times New Roman"/>
      <w:b/>
      <w:szCs w:val="20"/>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140b46"/>
    <w:rPr>
      <w:color w:val="0000FF" w:themeColor="hyperlink"/>
      <w:u w:val="single"/>
    </w:rPr>
  </w:style>
  <w:style w:type="character" w:styleId="Nagwek3Znak" w:customStyle="1">
    <w:name w:val="Nagłówek 3 Znak"/>
    <w:basedOn w:val="DefaultParagraphFont"/>
    <w:link w:val="Nagwek3"/>
    <w:qFormat/>
    <w:rsid w:val="008d2d78"/>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8d2d78"/>
    <w:rPr>
      <w:rFonts w:ascii="Tahoma" w:hAnsi="Tahoma" w:cs="Tahoma"/>
      <w:b/>
      <w:bCs/>
      <w:color w:val="000000"/>
      <w:sz w:val="18"/>
      <w:szCs w:val="18"/>
    </w:rPr>
  </w:style>
  <w:style w:type="character" w:styleId="FontStyle97" w:customStyle="1">
    <w:name w:val="Font Style97"/>
    <w:basedOn w:val="DefaultParagraphFont"/>
    <w:uiPriority w:val="99"/>
    <w:qFormat/>
    <w:rsid w:val="008d2d78"/>
    <w:rPr>
      <w:rFonts w:ascii="Tahoma" w:hAnsi="Tahoma" w:cs="Tahoma"/>
      <w:color w:val="000000"/>
      <w:sz w:val="18"/>
      <w:szCs w:val="18"/>
    </w:rPr>
  </w:style>
  <w:style w:type="character" w:styleId="AkapitzlistZnak" w:customStyle="1">
    <w:name w:val="Akapit z listą Znak"/>
    <w:link w:val="Akapitzlist"/>
    <w:uiPriority w:val="34"/>
    <w:qFormat/>
    <w:locked/>
    <w:rsid w:val="00cc25af"/>
    <w:rPr>
      <w:rFonts w:ascii="Arial" w:hAnsi="Arial" w:cs="Times New Roman"/>
      <w:color w:val="000000"/>
      <w:sz w:val="20"/>
      <w:szCs w:val="20"/>
    </w:rPr>
  </w:style>
  <w:style w:type="character" w:styleId="Tekstpodstawowy3Znak" w:customStyle="1">
    <w:name w:val="Tekst podstawowy 3 Znak"/>
    <w:basedOn w:val="DefaultParagraphFont"/>
    <w:link w:val="Tekstpodstawowy3"/>
    <w:qFormat/>
    <w:rsid w:val="00192fc3"/>
    <w:rPr>
      <w:rFonts w:ascii="Times New Roman" w:hAnsi="Times New Roman" w:eastAsia="Times New Roman" w:cs="Times New Roman"/>
      <w:szCs w:val="20"/>
      <w:lang w:val="en-US"/>
    </w:rPr>
  </w:style>
  <w:style w:type="character" w:styleId="TekstkomentarzaZnak" w:customStyle="1">
    <w:name w:val="Tekst komentarza Znak"/>
    <w:basedOn w:val="DefaultParagraphFont"/>
    <w:link w:val="Tekstkomentarza"/>
    <w:uiPriority w:val="99"/>
    <w:qFormat/>
    <w:rsid w:val="00192fc3"/>
    <w:rPr>
      <w:rFonts w:ascii="Times New Roman" w:hAnsi="Times New Roman" w:eastAsia="Times New Roman" w:cs="Times New Roman"/>
      <w:sz w:val="20"/>
      <w:szCs w:val="20"/>
      <w:lang w:val="en-US"/>
    </w:rPr>
  </w:style>
  <w:style w:type="character" w:styleId="Annotationreference">
    <w:name w:val="annotation reference"/>
    <w:uiPriority w:val="99"/>
    <w:unhideWhenUsed/>
    <w:qFormat/>
    <w:rsid w:val="00192fc3"/>
    <w:rPr>
      <w:sz w:val="16"/>
      <w:szCs w:val="16"/>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b/>
    </w:rPr>
  </w:style>
  <w:style w:type="character" w:styleId="ListLabel20">
    <w:name w:val="ListLabel 20"/>
    <w:qFormat/>
    <w:rPr>
      <w:b w:val="false"/>
      <w:sz w:val="20"/>
    </w:rPr>
  </w:style>
  <w:style w:type="character" w:styleId="ListLabel21">
    <w:name w:val="ListLabel 21"/>
    <w:qFormat/>
    <w:rPr>
      <w:rFonts w:ascii="Arial" w:hAnsi="Arial" w:cs="Times New Roman"/>
      <w:b/>
      <w:bCs/>
    </w:rPr>
  </w:style>
  <w:style w:type="character" w:styleId="ListLabel22">
    <w:name w:val="ListLabel 22"/>
    <w:qFormat/>
    <w:rPr>
      <w:rFonts w:cs="Times New Roman"/>
      <w:b/>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cs="Times New Roman"/>
      <w:b/>
    </w:rPr>
  </w:style>
  <w:style w:type="character" w:styleId="ListLabel29">
    <w:name w:val="ListLabel 29"/>
    <w:qFormat/>
    <w:rPr>
      <w:rFonts w:ascii="Arial" w:hAnsi="Arial" w:eastAsia="Times New Roman" w:cs="Arial"/>
    </w:rPr>
  </w:style>
  <w:style w:type="character" w:styleId="ListLabel30">
    <w:name w:val="ListLabel 30"/>
    <w:qFormat/>
    <w:rPr>
      <w:rFonts w:cs="Times New Roman"/>
    </w:rPr>
  </w:style>
  <w:style w:type="character" w:styleId="ListLabel31">
    <w:name w:val="ListLabel 31"/>
    <w:qFormat/>
    <w:rPr>
      <w:rFonts w:ascii="Arial" w:hAnsi="Arial" w:cs="Times New Roman"/>
      <w:b/>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Arial" w:hAnsi="Arial" w:cs="Times New Roman"/>
      <w:b/>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ascii="Arial" w:hAnsi="Arial" w:eastAsia="Times New Roman" w:cs="Arial"/>
      <w:b/>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ascii="Arial" w:hAnsi="Arial" w:cs="Times New Roman"/>
      <w:b/>
      <w:color w:val="00000A"/>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ascii="Arial" w:hAnsi="Arial" w:cs="Times New Roman"/>
      <w:b/>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ascii="Arial" w:hAnsi="Arial" w:cs="Times New Roman"/>
      <w:b/>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eastAsia="Times New Roman" w:cs="Segoe UI"/>
      <w:b w:val="false"/>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ascii="Arial" w:hAnsi="Arial" w:cs="Times New Roman"/>
      <w:b/>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Arial" w:hAnsi="Arial" w:cs="Times New Roman"/>
      <w:b/>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ascii="Arial" w:hAnsi="Arial" w:cs="Times New Roman"/>
      <w:b/>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ascii="Arial" w:hAnsi="Arial" w:cs="Times New Roman"/>
      <w:b/>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ascii="Arial" w:hAnsi="Arial"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b/>
      <w:color w:val="00000A"/>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ascii="Arial" w:hAnsi="Arial" w:cs="Times New Roman"/>
      <w:b/>
      <w:i w:val="false"/>
      <w:sz w:val="20"/>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ascii="Arial" w:hAnsi="Arial" w:eastAsia="Times New Roman" w:cs="Arial"/>
      <w:b/>
      <w:color w:val="00000A"/>
    </w:rPr>
  </w:style>
  <w:style w:type="character" w:styleId="ListLabel145">
    <w:name w:val="ListLabel 145"/>
    <w:qFormat/>
    <w:rPr>
      <w:rFonts w:cs="Times New Roman"/>
      <w:b w:val="false"/>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eastAsia="Times New Roman" w:cs="Arial"/>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ascii="Arial" w:hAnsi="Arial" w:eastAsia="Times New Roman" w:cs="Arial"/>
      <w:b/>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ascii="Arial" w:hAnsi="Arial" w:cs="Times New Roman"/>
      <w:b/>
      <w:color w:val="00000A"/>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ascii="Arial" w:hAnsi="Arial" w:eastAsia="Times New Roman" w:cs="Arial"/>
      <w:b/>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ascii="Arial" w:hAnsi="Arial" w:cs="Times New Roman"/>
      <w:b/>
      <w:sz w:val="22"/>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b/>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alibri" w:cs="Arial"/>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sz w:val="22"/>
      <w:szCs w:val="22"/>
    </w:rPr>
  </w:style>
  <w:style w:type="character" w:styleId="ListLabel206">
    <w:name w:val="ListLabel 206"/>
    <w:qFormat/>
    <w:rPr>
      <w:rFonts w:ascii="Arial" w:hAnsi="Arial"/>
      <w:sz w:val="22"/>
      <w:szCs w:val="22"/>
    </w:rPr>
  </w:style>
  <w:style w:type="character" w:styleId="ListLabel207">
    <w:name w:val="ListLabel 207"/>
    <w:qFormat/>
    <w:rPr>
      <w:rFonts w:ascii="Arial" w:hAnsi="Arial" w:eastAsia="Times New Roman" w:cs="Arial"/>
    </w:rPr>
  </w:style>
  <w:style w:type="character" w:styleId="ListLabel208">
    <w:name w:val="ListLabel 208"/>
    <w:qFormat/>
    <w:rPr>
      <w:color w:val="00000A"/>
      <w:u w:val="none" w:color="FFFFFF"/>
    </w:rPr>
  </w:style>
  <w:style w:type="character" w:styleId="ListLabel209">
    <w:name w:val="ListLabel 209"/>
    <w:qFormat/>
    <w:rPr>
      <w:b w:val="false"/>
      <w:color w:val="00000A"/>
      <w:sz w:val="20"/>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ascii="Arial" w:hAnsi="Arial"/>
      <w:color w:val="00000A"/>
      <w:u w:val="none" w:color="FFFFFF"/>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ascii="Arial" w:hAnsi="Arial"/>
      <w:b w:val="false"/>
      <w:sz w:val="20"/>
    </w:rPr>
  </w:style>
  <w:style w:type="character" w:styleId="ListLabel218">
    <w:name w:val="ListLabel 218"/>
    <w:qFormat/>
    <w:rPr>
      <w:rFonts w:cs="Times New Roman"/>
    </w:rPr>
  </w:style>
  <w:style w:type="character" w:styleId="ListLabel219">
    <w:name w:val="ListLabel 219"/>
    <w:qFormat/>
    <w:rPr>
      <w:rFonts w:ascii="Arial" w:hAnsi="Arial" w:eastAsia="Calibri" w:cs="Arial"/>
    </w:rPr>
  </w:style>
  <w:style w:type="character" w:styleId="ListLabel220">
    <w:name w:val="ListLabel 220"/>
    <w:qFormat/>
    <w:rPr>
      <w:rFonts w:cs="Times New Roman"/>
    </w:rPr>
  </w:style>
  <w:style w:type="character" w:styleId="ListLabel221">
    <w:name w:val="ListLabel 221"/>
    <w:qFormat/>
    <w:rPr>
      <w:rFonts w:eastAsia="Lucida Sans Unicode" w:cs="Verdana"/>
    </w:rPr>
  </w:style>
  <w:style w:type="character" w:styleId="ListLabel222">
    <w:name w:val="ListLabel 222"/>
    <w:qFormat/>
    <w:rPr>
      <w:rFonts w:ascii="Arial" w:hAnsi="Arial" w:cs="Times New Roman"/>
      <w:sz w:val="22"/>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ascii="Arial" w:hAnsi="Arial" w:cs="Times New Roman"/>
      <w:sz w:val="22"/>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ascii="Arial" w:hAnsi="Arial" w:cs="Times New Roman"/>
      <w:sz w:val="22"/>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Courier New"/>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ascii="Arial" w:hAnsi="Arial" w:cs="Times New Roman"/>
      <w:sz w:val="22"/>
    </w:rPr>
  </w:style>
  <w:style w:type="character" w:styleId="ListLabel244">
    <w:name w:val="ListLabel 244"/>
    <w:qFormat/>
    <w:rPr>
      <w:rFonts w:ascii="Arial" w:hAnsi="Arial" w:cs="Times New Roman"/>
      <w:b/>
      <w:sz w:val="22"/>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eastAsia="Times New Roman" w:cs="Arial"/>
      <w:sz w:val="22"/>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ascii="Arial" w:hAnsi="Arial" w:cs="Times New Roman"/>
      <w:b/>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ascii="Arial" w:hAnsi="Arial" w:cs="Times New Roman"/>
      <w:b/>
    </w:rPr>
  </w:style>
  <w:style w:type="character" w:styleId="ListLabel271">
    <w:name w:val="ListLabel 271"/>
    <w:qFormat/>
    <w:rPr>
      <w:b w:val="false"/>
      <w:sz w:val="20"/>
    </w:rPr>
  </w:style>
  <w:style w:type="character" w:styleId="ListLabel272">
    <w:name w:val="ListLabel 272"/>
    <w:qFormat/>
    <w:rPr>
      <w:rFonts w:ascii="Arial" w:hAnsi="Arial" w:cs="Times New Roman"/>
      <w:b/>
      <w:bCs/>
    </w:rPr>
  </w:style>
  <w:style w:type="character" w:styleId="ListLabel273">
    <w:name w:val="ListLabel 273"/>
    <w:qFormat/>
    <w:rPr>
      <w:rFonts w:cs="Times New Roman"/>
      <w:b/>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ascii="Arial" w:hAnsi="Arial" w:cs="Times New Roman"/>
      <w:b/>
    </w:rPr>
  </w:style>
  <w:style w:type="character" w:styleId="ListLabel280">
    <w:name w:val="ListLabel 280"/>
    <w:qFormat/>
    <w:rPr>
      <w:rFonts w:ascii="Arial" w:hAnsi="Arial" w:eastAsia="Times New Roman" w:cs="Arial"/>
    </w:rPr>
  </w:style>
  <w:style w:type="character" w:styleId="ListLabel281">
    <w:name w:val="ListLabel 281"/>
    <w:qFormat/>
    <w:rPr>
      <w:rFonts w:cs="Times New Roman"/>
    </w:rPr>
  </w:style>
  <w:style w:type="character" w:styleId="ListLabel282">
    <w:name w:val="ListLabel 282"/>
    <w:qFormat/>
    <w:rPr>
      <w:rFonts w:ascii="Arial" w:hAnsi="Arial" w:cs="Times New Roman"/>
      <w:b/>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ascii="Arial" w:hAnsi="Arial" w:cs="Times New Roman"/>
      <w:b/>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ascii="Arial" w:hAnsi="Arial" w:eastAsia="Times New Roman" w:cs="Arial"/>
      <w:b/>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ascii="Arial" w:hAnsi="Arial" w:cs="Times New Roman"/>
      <w:b/>
      <w:color w:val="00000A"/>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ascii="Arial" w:hAnsi="Arial" w:cs="Times New Roman"/>
      <w:b/>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ascii="Arial" w:hAnsi="Arial" w:cs="Times New Roman"/>
      <w:b/>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eastAsia="Times New Roman" w:cs="Segoe UI"/>
      <w:b w:val="false"/>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b/>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ascii="Arial" w:hAnsi="Arial" w:cs="Times New Roman"/>
      <w:b/>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ascii="Arial" w:hAnsi="Arial" w:cs="Times New Roman"/>
      <w:b/>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ascii="Arial" w:hAnsi="Arial" w:cs="Times New Roman"/>
      <w:b/>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ascii="Arial" w:hAnsi="Arial" w:cs="Times New Roman"/>
      <w:b/>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b/>
      <w:color w:val="00000A"/>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ascii="Arial" w:hAnsi="Arial" w:cs="Times New Roman"/>
      <w:b/>
      <w:i w:val="false"/>
      <w:sz w:val="20"/>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ascii="Arial" w:hAnsi="Arial" w:eastAsia="Times New Roman" w:cs="Arial"/>
      <w:b/>
      <w:color w:val="00000A"/>
    </w:rPr>
  </w:style>
  <w:style w:type="character" w:styleId="ListLabel396">
    <w:name w:val="ListLabel 396"/>
    <w:qFormat/>
    <w:rPr>
      <w:rFonts w:cs="Times New Roman"/>
      <w:b w:val="false"/>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eastAsia="Times New Roman" w:cs="Arial"/>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ascii="Arial" w:hAnsi="Arial" w:eastAsia="Times New Roman" w:cs="Arial"/>
      <w:b/>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ascii="Arial" w:hAnsi="Arial" w:cs="Times New Roman"/>
      <w:b/>
      <w:color w:val="00000A"/>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ascii="Arial" w:hAnsi="Arial" w:eastAsia="Times New Roman" w:cs="Arial"/>
      <w:b/>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ascii="Arial" w:hAnsi="Arial" w:cs="Times New Roman"/>
      <w:b/>
      <w:sz w:val="22"/>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sz w:val="22"/>
      <w:szCs w:val="22"/>
    </w:rPr>
  </w:style>
  <w:style w:type="character" w:styleId="ListLabel441">
    <w:name w:val="ListLabel 441"/>
    <w:qFormat/>
    <w:rPr>
      <w:rFonts w:ascii="Arial" w:hAnsi="Arial"/>
      <w:sz w:val="22"/>
      <w:szCs w:val="22"/>
    </w:rPr>
  </w:style>
  <w:style w:type="character" w:styleId="ListLabel442">
    <w:name w:val="ListLabel 442"/>
    <w:qFormat/>
    <w:rPr>
      <w:rFonts w:ascii="Arial" w:hAnsi="Arial" w:eastAsia="Times New Roman" w:cs="Arial"/>
    </w:rPr>
  </w:style>
  <w:style w:type="character" w:styleId="ListLabel443">
    <w:name w:val="ListLabel 443"/>
    <w:qFormat/>
    <w:rPr>
      <w:color w:val="00000A"/>
      <w:u w:val="none" w:color="FFFFFF"/>
    </w:rPr>
  </w:style>
  <w:style w:type="character" w:styleId="ListLabel444">
    <w:name w:val="ListLabel 444"/>
    <w:qFormat/>
    <w:rPr>
      <w:b w:val="false"/>
      <w:color w:val="00000A"/>
      <w:sz w:val="20"/>
    </w:rPr>
  </w:style>
  <w:style w:type="character" w:styleId="ListLabel445">
    <w:name w:val="ListLabel 445"/>
    <w:qFormat/>
    <w:rPr>
      <w:rFonts w:ascii="Arial" w:hAnsi="Arial" w:cs="Symbol"/>
      <w:b/>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Arial" w:hAnsi="Arial"/>
      <w:color w:val="00000A"/>
      <w:u w:val="none" w:color="FFFFFF"/>
    </w:rPr>
  </w:style>
  <w:style w:type="character" w:styleId="ListLabel455">
    <w:name w:val="ListLabel 455"/>
    <w:qFormat/>
    <w:rPr>
      <w:rFonts w:ascii="Arial" w:hAnsi="Arial"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w:hAnsi="Arial"/>
      <w:b w:val="false"/>
      <w:sz w:val="20"/>
    </w:rPr>
  </w:style>
  <w:style w:type="character" w:styleId="ListLabel465">
    <w:name w:val="ListLabel 465"/>
    <w:qFormat/>
    <w:rPr>
      <w:rFonts w:cs="Times New Roman"/>
    </w:rPr>
  </w:style>
  <w:style w:type="character" w:styleId="ListLabel466">
    <w:name w:val="ListLabel 466"/>
    <w:qFormat/>
    <w:rPr>
      <w:rFonts w:ascii="Arial" w:hAnsi="Arial" w:eastAsia="Calibri" w:cs="Aria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Times New Roman"/>
    </w:rPr>
  </w:style>
  <w:style w:type="character" w:styleId="ListLabel476">
    <w:name w:val="ListLabel 476"/>
    <w:qFormat/>
    <w:rPr>
      <w:rFonts w:ascii="Arial" w:hAnsi="Arial" w:cs="Symbol"/>
      <w:sz w:val="22"/>
    </w:rPr>
  </w:style>
  <w:style w:type="character" w:styleId="ListLabel477">
    <w:name w:val="ListLabel 477"/>
    <w:qFormat/>
    <w:rPr>
      <w:rFonts w:cs="Verdana"/>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cs="Times New Roman"/>
      <w:sz w:val="22"/>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ascii="Arial" w:hAnsi="Arial" w:cs="Times New Roman"/>
      <w:sz w:val="22"/>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ascii="Arial" w:hAnsi="Arial" w:cs="Times New Roman"/>
      <w:sz w:val="22"/>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ascii="Arial" w:hAnsi="Arial" w:cs="Times New Roman"/>
      <w:sz w:val="22"/>
    </w:rPr>
  </w:style>
  <w:style w:type="character" w:styleId="ListLabel511">
    <w:name w:val="ListLabel 511"/>
    <w:qFormat/>
    <w:rPr>
      <w:rFonts w:ascii="Arial" w:hAnsi="Arial" w:cs="Times New Roman"/>
      <w:b/>
      <w:sz w:val="22"/>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Symbol"/>
      <w:sz w:val="22"/>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Arial"/>
      <w:sz w:val="22"/>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Symbol"/>
      <w:sz w:val="22"/>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Character20style">
    <w:name w:val="Character_20_style"/>
    <w:qFormat/>
    <w:rPr>
      <w:sz w:val="22"/>
      <w:szCs w:val="22"/>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49z0">
    <w:name w:val="WW8Num49z0"/>
    <w:qFormat/>
    <w:rPr>
      <w:rFonts w:ascii="Times New Roman" w:hAnsi="Times New Roman" w:eastAsia="Times New Roman" w:cs="Times New Roman"/>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45z0">
    <w:name w:val="WW8Num45z0"/>
    <w:qFormat/>
    <w:rPr>
      <w:b w:val="false"/>
      <w:bCs/>
      <w:color w:val="000000"/>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Znakinumeracji">
    <w:name w:val="Znaki numeracji"/>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Znakiwypunktowania">
    <w:name w:val="Znaki wypunktowania"/>
    <w:qFormat/>
    <w:rPr>
      <w:rFonts w:ascii="OpenSymbol" w:hAnsi="OpenSymbol" w:eastAsia="OpenSymbol" w:cs="OpenSymbol"/>
    </w:rPr>
  </w:style>
  <w:style w:type="character" w:styleId="ListLabel546">
    <w:name w:val="ListLabel 546"/>
    <w:qFormat/>
    <w:rPr>
      <w:rFonts w:ascii="Arial" w:hAnsi="Arial" w:cs="Times New Roman"/>
      <w:b/>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ascii="Arial" w:hAnsi="Arial" w:cs="Times New Roman"/>
      <w:b/>
    </w:rPr>
  </w:style>
  <w:style w:type="character" w:styleId="ListLabel556">
    <w:name w:val="ListLabel 556"/>
    <w:qFormat/>
    <w:rPr>
      <w:b w:val="false"/>
      <w:sz w:val="20"/>
    </w:rPr>
  </w:style>
  <w:style w:type="character" w:styleId="ListLabel557">
    <w:name w:val="ListLabel 557"/>
    <w:qFormat/>
    <w:rPr>
      <w:rFonts w:ascii="Arial" w:hAnsi="Arial" w:cs="Times New Roman"/>
      <w:b/>
      <w:bCs/>
    </w:rPr>
  </w:style>
  <w:style w:type="character" w:styleId="ListLabel558">
    <w:name w:val="ListLabel 558"/>
    <w:qFormat/>
    <w:rPr>
      <w:rFonts w:cs="Times New Roman"/>
      <w:b/>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ascii="Arial" w:hAnsi="Arial" w:cs="Times New Roman"/>
      <w:b/>
    </w:rPr>
  </w:style>
  <w:style w:type="character" w:styleId="ListLabel565">
    <w:name w:val="ListLabel 565"/>
    <w:qFormat/>
    <w:rPr>
      <w:rFonts w:ascii="Arial" w:hAnsi="Arial" w:eastAsia="Times New Roman" w:cs="Arial"/>
    </w:rPr>
  </w:style>
  <w:style w:type="character" w:styleId="ListLabel566">
    <w:name w:val="ListLabel 566"/>
    <w:qFormat/>
    <w:rPr>
      <w:rFonts w:cs="Times New Roman"/>
    </w:rPr>
  </w:style>
  <w:style w:type="character" w:styleId="ListLabel567">
    <w:name w:val="ListLabel 567"/>
    <w:qFormat/>
    <w:rPr>
      <w:rFonts w:ascii="Arial" w:hAnsi="Arial" w:cs="Times New Roman"/>
      <w:b/>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ascii="Arial" w:hAnsi="Arial" w:cs="Times New Roman"/>
      <w:b/>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ascii="Arial" w:hAnsi="Arial" w:eastAsia="Times New Roman" w:cs="Arial"/>
      <w:b/>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ascii="Arial" w:hAnsi="Arial" w:cs="Times New Roman"/>
      <w:b/>
      <w:color w:val="00000A"/>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ascii="Arial" w:hAnsi="Arial" w:cs="Times New Roman"/>
      <w:b/>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ascii="Arial" w:hAnsi="Arial" w:cs="Times New Roman"/>
      <w:b/>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eastAsia="Times New Roman" w:cs="Segoe UI"/>
      <w:b w:val="false"/>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ascii="Arial" w:hAnsi="Arial" w:cs="Times New Roman"/>
      <w:b/>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Arial" w:hAnsi="Arial" w:cs="Times New Roman"/>
      <w:b/>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Arial" w:hAnsi="Arial" w:cs="Times New Roman"/>
      <w:b/>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ascii="Arial" w:hAnsi="Arial" w:cs="Times New Roman"/>
      <w:b/>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Arial" w:hAnsi="Arial" w:cs="Times New Roman"/>
      <w:b/>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b/>
      <w:color w:val="00000A"/>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ascii="Arial" w:hAnsi="Arial" w:cs="Times New Roman"/>
      <w:b/>
      <w:i w:val="false"/>
      <w:sz w:val="20"/>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Arial" w:hAnsi="Arial" w:eastAsia="Times New Roman" w:cs="Arial"/>
      <w:b/>
      <w:color w:val="00000A"/>
    </w:rPr>
  </w:style>
  <w:style w:type="character" w:styleId="ListLabel681">
    <w:name w:val="ListLabel 681"/>
    <w:qFormat/>
    <w:rPr>
      <w:rFonts w:cs="Times New Roman"/>
      <w:b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eastAsia="Times New Roman" w:cs="Arial"/>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Arial" w:hAnsi="Arial" w:eastAsia="Times New Roman" w:cs="Arial"/>
      <w:b/>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Arial" w:hAnsi="Arial" w:cs="Times New Roman"/>
      <w:b/>
      <w:color w:val="00000A"/>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ascii="Arial" w:hAnsi="Arial" w:eastAsia="Times New Roman" w:cs="Arial"/>
      <w:b/>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Arial" w:hAnsi="Arial" w:cs="Times New Roman"/>
      <w:b/>
      <w:sz w:val="22"/>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sz w:val="22"/>
      <w:szCs w:val="22"/>
    </w:rPr>
  </w:style>
  <w:style w:type="character" w:styleId="ListLabel726">
    <w:name w:val="ListLabel 726"/>
    <w:qFormat/>
    <w:rPr>
      <w:rFonts w:ascii="Arial" w:hAnsi="Arial"/>
      <w:sz w:val="22"/>
      <w:szCs w:val="22"/>
    </w:rPr>
  </w:style>
  <w:style w:type="character" w:styleId="ListLabel727">
    <w:name w:val="ListLabel 727"/>
    <w:qFormat/>
    <w:rPr>
      <w:rFonts w:ascii="Arial" w:hAnsi="Arial" w:eastAsia="Times New Roman" w:cs="Arial"/>
    </w:rPr>
  </w:style>
  <w:style w:type="character" w:styleId="ListLabel728">
    <w:name w:val="ListLabel 728"/>
    <w:qFormat/>
    <w:rPr>
      <w:color w:val="00000A"/>
      <w:u w:val="none" w:color="FFFFFF"/>
    </w:rPr>
  </w:style>
  <w:style w:type="character" w:styleId="ListLabel729">
    <w:name w:val="ListLabel 729"/>
    <w:qFormat/>
    <w:rPr>
      <w:b w:val="false"/>
      <w:color w:val="00000A"/>
      <w:sz w:val="20"/>
    </w:rPr>
  </w:style>
  <w:style w:type="character" w:styleId="ListLabel730">
    <w:name w:val="ListLabel 730"/>
    <w:qFormat/>
    <w:rPr>
      <w:rFonts w:ascii="Arial" w:hAnsi="Arial"/>
      <w:color w:val="00000A"/>
      <w:u w:val="none" w:color="FFFFFF"/>
    </w:rPr>
  </w:style>
  <w:style w:type="character" w:styleId="ListLabel731">
    <w:name w:val="ListLabel 731"/>
    <w:qFormat/>
    <w:rPr>
      <w:rFonts w:ascii="Arial" w:hAnsi="Arial"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ascii="Arial" w:hAnsi="Arial"/>
      <w:b w:val="false"/>
      <w:sz w:val="20"/>
    </w:rPr>
  </w:style>
  <w:style w:type="character" w:styleId="ListLabel741">
    <w:name w:val="ListLabel 741"/>
    <w:qFormat/>
    <w:rPr>
      <w:rFonts w:cs="Times New Roman"/>
    </w:rPr>
  </w:style>
  <w:style w:type="character" w:styleId="ListLabel742">
    <w:name w:val="ListLabel 742"/>
    <w:qFormat/>
    <w:rPr>
      <w:rFonts w:eastAsia="Calibri" w:cs="Arial"/>
    </w:rPr>
  </w:style>
  <w:style w:type="character" w:styleId="ListLabel743">
    <w:name w:val="ListLabel 743"/>
    <w:qFormat/>
    <w:rPr>
      <w:sz w:val="22"/>
      <w:szCs w:val="22"/>
    </w:rPr>
  </w:style>
  <w:style w:type="character" w:styleId="ListLabel744">
    <w:name w:val="ListLabel 744"/>
    <w:qFormat/>
    <w:rPr>
      <w:sz w:val="22"/>
      <w:szCs w:val="22"/>
    </w:rPr>
  </w:style>
  <w:style w:type="character" w:styleId="ListLabel745">
    <w:name w:val="ListLabel 745"/>
    <w:qFormat/>
    <w:rPr>
      <w:sz w:val="22"/>
      <w:szCs w:val="22"/>
    </w:rPr>
  </w:style>
  <w:style w:type="character" w:styleId="ListLabel746">
    <w:name w:val="ListLabel 746"/>
    <w:qFormat/>
    <w:rPr>
      <w:sz w:val="22"/>
      <w:szCs w:val="22"/>
    </w:rPr>
  </w:style>
  <w:style w:type="character" w:styleId="ListLabel747">
    <w:name w:val="ListLabel 747"/>
    <w:qFormat/>
    <w:rPr>
      <w:sz w:val="22"/>
      <w:szCs w:val="22"/>
    </w:rPr>
  </w:style>
  <w:style w:type="character" w:styleId="ListLabel748">
    <w:name w:val="ListLabel 748"/>
    <w:qFormat/>
    <w:rPr>
      <w:sz w:val="22"/>
      <w:szCs w:val="22"/>
    </w:rPr>
  </w:style>
  <w:style w:type="character" w:styleId="ListLabel749">
    <w:name w:val="ListLabel 749"/>
    <w:qFormat/>
    <w:rPr>
      <w:sz w:val="22"/>
      <w:szCs w:val="22"/>
    </w:rPr>
  </w:style>
  <w:style w:type="character" w:styleId="ListLabel750">
    <w:name w:val="ListLabel 750"/>
    <w:qFormat/>
    <w:rPr>
      <w:sz w:val="22"/>
      <w:szCs w:val="22"/>
    </w:rPr>
  </w:style>
  <w:style w:type="character" w:styleId="ListLabel751">
    <w:name w:val="ListLabel 751"/>
    <w:qFormat/>
    <w:rPr>
      <w:rFonts w:ascii="Arial" w:hAnsi="Arial"/>
      <w:sz w:val="22"/>
      <w:szCs w:val="22"/>
    </w:rPr>
  </w:style>
  <w:style w:type="character" w:styleId="ListLabel752">
    <w:name w:val="ListLabel 752"/>
    <w:qFormat/>
    <w:rPr>
      <w:rFonts w:ascii="Arial" w:hAnsi="Arial"/>
      <w:sz w:val="22"/>
      <w:szCs w:val="22"/>
    </w:rPr>
  </w:style>
  <w:style w:type="character" w:styleId="ListLabel753">
    <w:name w:val="ListLabel 753"/>
    <w:qFormat/>
    <w:rPr>
      <w:sz w:val="22"/>
      <w:szCs w:val="22"/>
    </w:rPr>
  </w:style>
  <w:style w:type="character" w:styleId="ListLabel754">
    <w:name w:val="ListLabel 754"/>
    <w:qFormat/>
    <w:rPr>
      <w:sz w:val="22"/>
      <w:szCs w:val="22"/>
    </w:rPr>
  </w:style>
  <w:style w:type="character" w:styleId="ListLabel755">
    <w:name w:val="ListLabel 755"/>
    <w:qFormat/>
    <w:rPr>
      <w:sz w:val="22"/>
      <w:szCs w:val="22"/>
    </w:rPr>
  </w:style>
  <w:style w:type="character" w:styleId="ListLabel756">
    <w:name w:val="ListLabel 756"/>
    <w:qFormat/>
    <w:rPr>
      <w:sz w:val="22"/>
      <w:szCs w:val="22"/>
    </w:rPr>
  </w:style>
  <w:style w:type="character" w:styleId="ListLabel757">
    <w:name w:val="ListLabel 757"/>
    <w:qFormat/>
    <w:rPr>
      <w:sz w:val="22"/>
      <w:szCs w:val="22"/>
    </w:rPr>
  </w:style>
  <w:style w:type="character" w:styleId="ListLabel758">
    <w:name w:val="ListLabel 758"/>
    <w:qFormat/>
    <w:rPr>
      <w:sz w:val="22"/>
      <w:szCs w:val="22"/>
    </w:rPr>
  </w:style>
  <w:style w:type="character" w:styleId="ListLabel759">
    <w:name w:val="ListLabel 759"/>
    <w:qFormat/>
    <w:rPr>
      <w:sz w:val="22"/>
      <w:szCs w:val="22"/>
    </w:rPr>
  </w:style>
  <w:style w:type="character" w:styleId="ListLabel760">
    <w:name w:val="ListLabel 760"/>
    <w:qFormat/>
    <w:rPr>
      <w:rFonts w:ascii="Arial" w:hAnsi="Arial" w:eastAsia="Times New Roman" w:cs="Times New Roman"/>
      <w:sz w:val="22"/>
    </w:rPr>
  </w:style>
  <w:style w:type="character" w:styleId="ListLabel761">
    <w:name w:val="ListLabel 761"/>
    <w:qFormat/>
    <w:rPr>
      <w:rFonts w:ascii="Arial" w:hAnsi="Arial"/>
      <w:b w:val="false"/>
      <w:bCs/>
      <w:color w:val="000000"/>
      <w:sz w:val="22"/>
    </w:rPr>
  </w:style>
  <w:style w:type="character" w:styleId="ListLabel762">
    <w:name w:val="ListLabel 762"/>
    <w:qFormat/>
    <w:rPr>
      <w:sz w:val="22"/>
      <w:szCs w:val="22"/>
    </w:rPr>
  </w:style>
  <w:style w:type="character" w:styleId="ListLabel763">
    <w:name w:val="ListLabel 763"/>
    <w:qFormat/>
    <w:rPr>
      <w:sz w:val="22"/>
      <w:szCs w:val="22"/>
    </w:rPr>
  </w:style>
  <w:style w:type="character" w:styleId="ListLabel764">
    <w:name w:val="ListLabel 764"/>
    <w:qFormat/>
    <w:rPr>
      <w:sz w:val="22"/>
      <w:szCs w:val="22"/>
    </w:rPr>
  </w:style>
  <w:style w:type="character" w:styleId="ListLabel765">
    <w:name w:val="ListLabel 765"/>
    <w:qFormat/>
    <w:rPr>
      <w:sz w:val="22"/>
      <w:szCs w:val="22"/>
    </w:rPr>
  </w:style>
  <w:style w:type="character" w:styleId="ListLabel766">
    <w:name w:val="ListLabel 766"/>
    <w:qFormat/>
    <w:rPr>
      <w:sz w:val="22"/>
      <w:szCs w:val="22"/>
    </w:rPr>
  </w:style>
  <w:style w:type="character" w:styleId="ListLabel767">
    <w:name w:val="ListLabel 767"/>
    <w:qFormat/>
    <w:rPr>
      <w:sz w:val="22"/>
      <w:szCs w:val="22"/>
    </w:rPr>
  </w:style>
  <w:style w:type="character" w:styleId="ListLabel768">
    <w:name w:val="ListLabel 768"/>
    <w:qFormat/>
    <w:rPr>
      <w:sz w:val="22"/>
      <w:szCs w:val="22"/>
    </w:rPr>
  </w:style>
  <w:style w:type="character" w:styleId="ListLabel769">
    <w:name w:val="ListLabel 769"/>
    <w:qFormat/>
    <w:rPr>
      <w:sz w:val="22"/>
      <w:szCs w:val="22"/>
    </w:rPr>
  </w:style>
  <w:style w:type="character" w:styleId="ListLabel770">
    <w:name w:val="ListLabel 770"/>
    <w:qFormat/>
    <w:rPr>
      <w:sz w:val="22"/>
      <w:szCs w:val="22"/>
    </w:rPr>
  </w:style>
  <w:style w:type="character" w:styleId="ListLabel771">
    <w:name w:val="ListLabel 771"/>
    <w:qFormat/>
    <w:rPr>
      <w:rFonts w:ascii="Arial" w:hAnsi="Arial"/>
      <w:sz w:val="22"/>
      <w:szCs w:val="22"/>
    </w:rPr>
  </w:style>
  <w:style w:type="character" w:styleId="ListLabel772">
    <w:name w:val="ListLabel 772"/>
    <w:qFormat/>
    <w:rPr>
      <w:sz w:val="22"/>
      <w:szCs w:val="22"/>
    </w:rPr>
  </w:style>
  <w:style w:type="character" w:styleId="ListLabel773">
    <w:name w:val="ListLabel 773"/>
    <w:qFormat/>
    <w:rPr>
      <w:sz w:val="22"/>
      <w:szCs w:val="22"/>
    </w:rPr>
  </w:style>
  <w:style w:type="character" w:styleId="ListLabel774">
    <w:name w:val="ListLabel 774"/>
    <w:qFormat/>
    <w:rPr>
      <w:sz w:val="22"/>
      <w:szCs w:val="22"/>
    </w:rPr>
  </w:style>
  <w:style w:type="character" w:styleId="ListLabel775">
    <w:name w:val="ListLabel 775"/>
    <w:qFormat/>
    <w:rPr>
      <w:sz w:val="22"/>
      <w:szCs w:val="22"/>
    </w:rPr>
  </w:style>
  <w:style w:type="character" w:styleId="ListLabel776">
    <w:name w:val="ListLabel 776"/>
    <w:qFormat/>
    <w:rPr>
      <w:sz w:val="22"/>
      <w:szCs w:val="22"/>
    </w:rPr>
  </w:style>
  <w:style w:type="character" w:styleId="ListLabel777">
    <w:name w:val="ListLabel 777"/>
    <w:qFormat/>
    <w:rPr>
      <w:sz w:val="22"/>
      <w:szCs w:val="22"/>
    </w:rPr>
  </w:style>
  <w:style w:type="character" w:styleId="ListLabel778">
    <w:name w:val="ListLabel 778"/>
    <w:qFormat/>
    <w:rPr>
      <w:sz w:val="22"/>
      <w:szCs w:val="22"/>
    </w:rPr>
  </w:style>
  <w:style w:type="character" w:styleId="ListLabel779">
    <w:name w:val="ListLabel 779"/>
    <w:qFormat/>
    <w:rPr>
      <w:sz w:val="22"/>
      <w:szCs w:val="22"/>
    </w:rPr>
  </w:style>
  <w:style w:type="character" w:styleId="ListLabel780">
    <w:name w:val="ListLabel 780"/>
    <w:qFormat/>
    <w:rPr>
      <w:rFonts w:ascii="Arial" w:hAnsi="Arial"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ascii="Arial" w:hAnsi="Arial" w:cs="Times New Roman"/>
      <w:b/>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ascii="Arial" w:hAnsi="Arial" w:cs="Times New Roman"/>
      <w:b/>
    </w:rPr>
  </w:style>
  <w:style w:type="character" w:styleId="ListLabel799">
    <w:name w:val="ListLabel 799"/>
    <w:qFormat/>
    <w:rPr>
      <w:b w:val="false"/>
      <w:sz w:val="20"/>
    </w:rPr>
  </w:style>
  <w:style w:type="character" w:styleId="ListLabel800">
    <w:name w:val="ListLabel 800"/>
    <w:qFormat/>
    <w:rPr>
      <w:rFonts w:ascii="Arial" w:hAnsi="Arial" w:cs="Times New Roman"/>
      <w:b/>
      <w:bCs/>
    </w:rPr>
  </w:style>
  <w:style w:type="character" w:styleId="ListLabel801">
    <w:name w:val="ListLabel 801"/>
    <w:qFormat/>
    <w:rPr>
      <w:rFonts w:cs="Times New Roman"/>
      <w:b/>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ascii="Arial" w:hAnsi="Arial" w:cs="Times New Roman"/>
      <w:b/>
    </w:rPr>
  </w:style>
  <w:style w:type="character" w:styleId="ListLabel808">
    <w:name w:val="ListLabel 808"/>
    <w:qFormat/>
    <w:rPr>
      <w:rFonts w:ascii="Arial" w:hAnsi="Arial" w:eastAsia="Times New Roman" w:cs="Arial"/>
    </w:rPr>
  </w:style>
  <w:style w:type="character" w:styleId="ListLabel809">
    <w:name w:val="ListLabel 809"/>
    <w:qFormat/>
    <w:rPr>
      <w:rFonts w:cs="Times New Roman"/>
    </w:rPr>
  </w:style>
  <w:style w:type="character" w:styleId="ListLabel810">
    <w:name w:val="ListLabel 810"/>
    <w:qFormat/>
    <w:rPr>
      <w:rFonts w:ascii="Arial" w:hAnsi="Arial" w:cs="Times New Roman"/>
      <w:b/>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Arial" w:hAnsi="Arial" w:cs="Times New Roman"/>
      <w:b/>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Arial" w:hAnsi="Arial" w:eastAsia="Times New Roman" w:cs="Arial"/>
      <w:b/>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ascii="Arial" w:hAnsi="Arial" w:cs="Times New Roman"/>
      <w:b/>
      <w:color w:val="00000A"/>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ascii="Arial" w:hAnsi="Arial" w:cs="Times New Roman"/>
      <w:b/>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Arial" w:hAnsi="Arial" w:cs="Times New Roman"/>
      <w:b/>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eastAsia="Times New Roman" w:cs="Segoe UI"/>
      <w:b w:val="false"/>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ascii="Arial" w:hAnsi="Arial" w:cs="Times New Roman"/>
      <w:b/>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ascii="Arial" w:hAnsi="Arial" w:cs="Times New Roman"/>
      <w:b/>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Arial" w:hAnsi="Arial" w:cs="Times New Roman"/>
      <w:b/>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Arial" w:hAnsi="Arial" w:cs="Times New Roman"/>
      <w:b/>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Arial" w:hAnsi="Arial" w:cs="Times New Roman"/>
      <w:b/>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b/>
      <w:color w:val="00000A"/>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ascii="Arial" w:hAnsi="Arial" w:cs="Times New Roman"/>
      <w:b/>
      <w:i w:val="false"/>
      <w:sz w:val="20"/>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ascii="Arial" w:hAnsi="Arial" w:eastAsia="Times New Roman" w:cs="Arial"/>
      <w:b/>
      <w:color w:val="00000A"/>
    </w:rPr>
  </w:style>
  <w:style w:type="character" w:styleId="ListLabel924">
    <w:name w:val="ListLabel 924"/>
    <w:qFormat/>
    <w:rPr>
      <w:rFonts w:cs="Times New Roman"/>
      <w:b w:val="false"/>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eastAsia="Times New Roman" w:cs="Arial"/>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cs="Times New Roman"/>
    </w:rPr>
  </w:style>
  <w:style w:type="character" w:styleId="ListLabel932">
    <w:name w:val="ListLabel 932"/>
    <w:qFormat/>
    <w:rPr>
      <w:rFonts w:ascii="Arial" w:hAnsi="Arial" w:eastAsia="Times New Roman" w:cs="Arial"/>
      <w:b/>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ascii="Arial" w:hAnsi="Arial" w:cs="Times New Roman"/>
      <w:b/>
      <w:color w:val="00000A"/>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cs="Times New Roman"/>
    </w:rPr>
  </w:style>
  <w:style w:type="character" w:styleId="ListLabel950">
    <w:name w:val="ListLabel 950"/>
    <w:qFormat/>
    <w:rPr>
      <w:rFonts w:eastAsia="Times New Roman" w:cs="Arial"/>
      <w:b/>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cs="Times New Roman"/>
    </w:rPr>
  </w:style>
  <w:style w:type="character" w:styleId="ListLabel959">
    <w:name w:val="ListLabel 959"/>
    <w:qFormat/>
    <w:rPr>
      <w:rFonts w:cs="Times New Roman"/>
      <w:b/>
      <w:sz w:val="22"/>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sz w:val="22"/>
      <w:szCs w:val="22"/>
    </w:rPr>
  </w:style>
  <w:style w:type="character" w:styleId="ListLabel969">
    <w:name w:val="ListLabel 969"/>
    <w:qFormat/>
    <w:rPr>
      <w:rFonts w:ascii="Arial" w:hAnsi="Arial"/>
      <w:sz w:val="22"/>
      <w:szCs w:val="22"/>
    </w:rPr>
  </w:style>
  <w:style w:type="character" w:styleId="ListLabel970">
    <w:name w:val="ListLabel 970"/>
    <w:qFormat/>
    <w:rPr>
      <w:rFonts w:ascii="Arial" w:hAnsi="Arial" w:eastAsia="Times New Roman" w:cs="Arial"/>
    </w:rPr>
  </w:style>
  <w:style w:type="character" w:styleId="ListLabel971">
    <w:name w:val="ListLabel 971"/>
    <w:qFormat/>
    <w:rPr>
      <w:color w:val="00000A"/>
      <w:u w:val="none" w:color="FFFFFF"/>
    </w:rPr>
  </w:style>
  <w:style w:type="character" w:styleId="ListLabel972">
    <w:name w:val="ListLabel 972"/>
    <w:qFormat/>
    <w:rPr>
      <w:b w:val="false"/>
      <w:color w:val="00000A"/>
      <w:sz w:val="20"/>
    </w:rPr>
  </w:style>
  <w:style w:type="character" w:styleId="ListLabel973">
    <w:name w:val="ListLabel 973"/>
    <w:qFormat/>
    <w:rPr>
      <w:rFonts w:ascii="Arial" w:hAnsi="Arial"/>
      <w:color w:val="00000A"/>
      <w:u w:val="none" w:color="FFFFFF"/>
    </w:rPr>
  </w:style>
  <w:style w:type="character" w:styleId="ListLabel974">
    <w:name w:val="ListLabel 974"/>
    <w:qFormat/>
    <w:rPr>
      <w:rFonts w:ascii="Arial" w:hAnsi="Arial"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ascii="Arial" w:hAnsi="Arial"/>
      <w:b w:val="false"/>
      <w:sz w:val="20"/>
    </w:rPr>
  </w:style>
  <w:style w:type="character" w:styleId="ListLabel984">
    <w:name w:val="ListLabel 984"/>
    <w:qFormat/>
    <w:rPr>
      <w:rFonts w:cs="Times New Roman"/>
    </w:rPr>
  </w:style>
  <w:style w:type="character" w:styleId="ListLabel985">
    <w:name w:val="ListLabel 985"/>
    <w:qFormat/>
    <w:rPr>
      <w:rFonts w:eastAsia="Calibri" w:cs="Arial"/>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Times New Roman"/>
      <w:b/>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ascii="Arial" w:hAnsi="Arial" w:cs="Times New Roman"/>
      <w:b/>
    </w:rPr>
  </w:style>
  <w:style w:type="character" w:styleId="ListLabel1033">
    <w:name w:val="ListLabel 1033"/>
    <w:qFormat/>
    <w:rPr>
      <w:b w:val="false"/>
      <w:sz w:val="20"/>
    </w:rPr>
  </w:style>
  <w:style w:type="character" w:styleId="ListLabel1034">
    <w:name w:val="ListLabel 1034"/>
    <w:qFormat/>
    <w:rPr>
      <w:rFonts w:ascii="Arial" w:hAnsi="Arial" w:cs="Times New Roman"/>
      <w:b/>
      <w:bCs/>
    </w:rPr>
  </w:style>
  <w:style w:type="character" w:styleId="ListLabel1035">
    <w:name w:val="ListLabel 1035"/>
    <w:qFormat/>
    <w:rPr>
      <w:rFonts w:cs="Times New Roman"/>
      <w:b/>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ascii="Arial" w:hAnsi="Arial" w:cs="Times New Roman"/>
      <w:b/>
    </w:rPr>
  </w:style>
  <w:style w:type="character" w:styleId="ListLabel1042">
    <w:name w:val="ListLabel 1042"/>
    <w:qFormat/>
    <w:rPr>
      <w:rFonts w:ascii="Arial" w:hAnsi="Arial" w:eastAsia="Times New Roman" w:cs="Arial"/>
    </w:rPr>
  </w:style>
  <w:style w:type="character" w:styleId="ListLabel1043">
    <w:name w:val="ListLabel 1043"/>
    <w:qFormat/>
    <w:rPr>
      <w:rFonts w:cs="Times New Roman"/>
    </w:rPr>
  </w:style>
  <w:style w:type="character" w:styleId="ListLabel1044">
    <w:name w:val="ListLabel 1044"/>
    <w:qFormat/>
    <w:rPr>
      <w:rFonts w:ascii="Arial" w:hAnsi="Arial" w:cs="Times New Roman"/>
      <w:b/>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ascii="Arial" w:hAnsi="Arial" w:cs="Times New Roman"/>
      <w:b/>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Arial" w:hAnsi="Arial" w:eastAsia="Times New Roman" w:cs="Arial"/>
      <w:b/>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Arial" w:hAnsi="Arial" w:cs="Times New Roman"/>
      <w:b/>
      <w:color w:val="00000A"/>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cs="Times New Roman"/>
    </w:rPr>
  </w:style>
  <w:style w:type="character" w:styleId="ListLabel1076">
    <w:name w:val="ListLabel 1076"/>
    <w:qFormat/>
    <w:rPr>
      <w:rFonts w:ascii="Arial" w:hAnsi="Arial" w:cs="Times New Roman"/>
      <w:b/>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Arial" w:hAnsi="Arial" w:cs="Times New Roman"/>
      <w:b/>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eastAsia="Times New Roman" w:cs="Segoe UI"/>
      <w:b w:val="false"/>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ascii="Arial" w:hAnsi="Arial" w:cs="Times New Roman"/>
      <w:b/>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ascii="Arial" w:hAnsi="Arial"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cs="Times New Roman"/>
    </w:rPr>
  </w:style>
  <w:style w:type="character" w:styleId="ListLabel1112">
    <w:name w:val="ListLabel 1112"/>
    <w:qFormat/>
    <w:rPr>
      <w:rFonts w:ascii="Arial" w:hAnsi="Arial" w:cs="Times New Roman"/>
      <w:b/>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cs="Times New Roman"/>
    </w:rPr>
  </w:style>
  <w:style w:type="character" w:styleId="ListLabel1121">
    <w:name w:val="ListLabel 1121"/>
    <w:qFormat/>
    <w:rPr>
      <w:rFonts w:ascii="Arial" w:hAnsi="Arial" w:cs="Times New Roman"/>
      <w:b/>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cs="Times New Roman"/>
    </w:rPr>
  </w:style>
  <w:style w:type="character" w:styleId="ListLabel1130">
    <w:name w:val="ListLabel 1130"/>
    <w:qFormat/>
    <w:rPr>
      <w:rFonts w:ascii="Arial" w:hAnsi="Arial" w:cs="Times New Roman"/>
      <w:b/>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b/>
      <w:color w:val="00000A"/>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140">
    <w:name w:val="ListLabel 114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Arial" w:hAnsi="Arial" w:cs="Times New Roman"/>
      <w:b/>
      <w:i w:val="false"/>
      <w:sz w:val="20"/>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ascii="Arial" w:hAnsi="Arial" w:eastAsia="Times New Roman" w:cs="Arial"/>
      <w:b/>
      <w:color w:val="00000A"/>
    </w:rPr>
  </w:style>
  <w:style w:type="character" w:styleId="ListLabel1158">
    <w:name w:val="ListLabel 1158"/>
    <w:qFormat/>
    <w:rPr>
      <w:rFonts w:cs="Times New Roman"/>
      <w:b w:val="false"/>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eastAsia="Times New Roman" w:cs="Arial"/>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cs="Times New Roman"/>
    </w:rPr>
  </w:style>
  <w:style w:type="character" w:styleId="ListLabel1166">
    <w:name w:val="ListLabel 1166"/>
    <w:qFormat/>
    <w:rPr>
      <w:rFonts w:ascii="Arial" w:hAnsi="Arial" w:eastAsia="Times New Roman" w:cs="Arial"/>
      <w:b/>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Arial" w:hAnsi="Arial" w:cs="Times New Roman"/>
      <w:b/>
      <w:color w:val="00000A"/>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eastAsia="Times New Roman" w:cs="Arial"/>
      <w:b/>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b/>
      <w:sz w:val="22"/>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sz w:val="22"/>
      <w:szCs w:val="22"/>
    </w:rPr>
  </w:style>
  <w:style w:type="character" w:styleId="ListLabel1203">
    <w:name w:val="ListLabel 1203"/>
    <w:qFormat/>
    <w:rPr>
      <w:rFonts w:ascii="Arial" w:hAnsi="Arial"/>
      <w:sz w:val="22"/>
      <w:szCs w:val="22"/>
    </w:rPr>
  </w:style>
  <w:style w:type="character" w:styleId="ListLabel1204">
    <w:name w:val="ListLabel 1204"/>
    <w:qFormat/>
    <w:rPr>
      <w:rFonts w:ascii="Arial" w:hAnsi="Arial" w:eastAsia="Times New Roman" w:cs="Arial"/>
    </w:rPr>
  </w:style>
  <w:style w:type="character" w:styleId="ListLabel1205">
    <w:name w:val="ListLabel 1205"/>
    <w:qFormat/>
    <w:rPr>
      <w:color w:val="00000A"/>
      <w:u w:val="none" w:color="FFFFFF"/>
    </w:rPr>
  </w:style>
  <w:style w:type="character" w:styleId="ListLabel1206">
    <w:name w:val="ListLabel 1206"/>
    <w:qFormat/>
    <w:rPr>
      <w:b w:val="false"/>
      <w:color w:val="00000A"/>
      <w:sz w:val="20"/>
    </w:rPr>
  </w:style>
  <w:style w:type="character" w:styleId="ListLabel1207">
    <w:name w:val="ListLabel 1207"/>
    <w:qFormat/>
    <w:rPr>
      <w:rFonts w:ascii="Arial" w:hAnsi="Arial"/>
      <w:color w:val="00000A"/>
      <w:u w:val="none" w:color="FFFFFF"/>
    </w:rPr>
  </w:style>
  <w:style w:type="character" w:styleId="ListLabel1208">
    <w:name w:val="ListLabel 1208"/>
    <w:qFormat/>
    <w:rPr>
      <w:rFonts w:ascii="Arial" w:hAnsi="Arial"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ascii="Arial" w:hAnsi="Arial"/>
      <w:b w:val="false"/>
      <w:sz w:val="20"/>
    </w:rPr>
  </w:style>
  <w:style w:type="character" w:styleId="ListLabel1218">
    <w:name w:val="ListLabel 1218"/>
    <w:qFormat/>
    <w:rPr>
      <w:rFonts w:cs="Times New Roman"/>
    </w:rPr>
  </w:style>
  <w:style w:type="character" w:styleId="ListLabel1219">
    <w:name w:val="ListLabel 1219"/>
    <w:qFormat/>
    <w:rPr>
      <w:rFonts w:eastAsia="Calibri" w:cs="Arial"/>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sz w:val="22"/>
      <w:szCs w:val="22"/>
    </w:rPr>
  </w:style>
  <w:style w:type="character" w:styleId="ListLabel1226">
    <w:name w:val="ListLabel 1226"/>
    <w:qFormat/>
    <w:rPr>
      <w:sz w:val="22"/>
      <w:szCs w:val="22"/>
    </w:rPr>
  </w:style>
  <w:style w:type="character" w:styleId="ListLabel1227">
    <w:name w:val="ListLabel 1227"/>
    <w:qFormat/>
    <w:rPr>
      <w:sz w:val="22"/>
      <w:szCs w:val="22"/>
    </w:rPr>
  </w:style>
  <w:style w:type="character" w:styleId="ListLabel1228">
    <w:name w:val="ListLabel 1228"/>
    <w:qFormat/>
    <w:rPr>
      <w:rFonts w:ascii="Arial" w:hAnsi="Arial"/>
      <w:sz w:val="22"/>
      <w:szCs w:val="22"/>
    </w:rPr>
  </w:style>
  <w:style w:type="character" w:styleId="ListLabel1229">
    <w:name w:val="ListLabel 1229"/>
    <w:qFormat/>
    <w:rPr>
      <w:rFonts w:ascii="Arial" w:hAnsi="Arial"/>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sz w:val="22"/>
      <w:szCs w:val="22"/>
    </w:rPr>
  </w:style>
  <w:style w:type="character" w:styleId="ListLabel1237">
    <w:name w:val="ListLabel 1237"/>
    <w:qFormat/>
    <w:rPr>
      <w:rFonts w:ascii="Arial" w:hAnsi="Arial" w:eastAsia="Times New Roman" w:cs="Times New Roman"/>
      <w:sz w:val="22"/>
    </w:rPr>
  </w:style>
  <w:style w:type="character" w:styleId="ListLabel1238">
    <w:name w:val="ListLabel 1238"/>
    <w:qFormat/>
    <w:rPr>
      <w:rFonts w:ascii="Arial" w:hAnsi="Arial"/>
      <w:b w:val="false"/>
      <w:bCs/>
      <w:color w:val="000000"/>
      <w:sz w:val="22"/>
    </w:rPr>
  </w:style>
  <w:style w:type="character" w:styleId="ListLabel1239">
    <w:name w:val="ListLabel 1239"/>
    <w:qFormat/>
    <w:rPr>
      <w:rFonts w:ascii="Arial" w:hAnsi="Arial"/>
      <w:sz w:val="22"/>
      <w:szCs w:val="22"/>
    </w:rPr>
  </w:style>
  <w:style w:type="character" w:styleId="ListLabel1240">
    <w:name w:val="ListLabel 1240"/>
    <w:qFormat/>
    <w:rPr>
      <w:sz w:val="22"/>
      <w:szCs w:val="22"/>
    </w:rPr>
  </w:style>
  <w:style w:type="character" w:styleId="ListLabel1241">
    <w:name w:val="ListLabel 1241"/>
    <w:qFormat/>
    <w:rPr>
      <w:sz w:val="22"/>
      <w:szCs w:val="22"/>
    </w:rPr>
  </w:style>
  <w:style w:type="character" w:styleId="ListLabel1242">
    <w:name w:val="ListLabel 1242"/>
    <w:qFormat/>
    <w:rPr>
      <w:sz w:val="22"/>
      <w:szCs w:val="22"/>
    </w:rPr>
  </w:style>
  <w:style w:type="character" w:styleId="ListLabel1243">
    <w:name w:val="ListLabel 1243"/>
    <w:qFormat/>
    <w:rPr>
      <w:sz w:val="22"/>
      <w:szCs w:val="22"/>
    </w:rPr>
  </w:style>
  <w:style w:type="character" w:styleId="ListLabel1244">
    <w:name w:val="ListLabel 1244"/>
    <w:qFormat/>
    <w:rPr>
      <w:sz w:val="22"/>
      <w:szCs w:val="22"/>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rFonts w:ascii="Arial" w:hAnsi="Arial"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Arial" w:hAnsi="Arial" w:cs="Times New Roman"/>
      <w:b/>
    </w:rPr>
  </w:style>
  <w:style w:type="character" w:styleId="ListLabel1258">
    <w:name w:val="ListLabel 1258"/>
    <w:qFormat/>
    <w:rPr>
      <w:rFonts w:cs="Times New Roman"/>
    </w:rPr>
  </w:style>
  <w:style w:type="character" w:styleId="ListLabel1259">
    <w:name w:val="ListLabel 1259"/>
    <w:qFormat/>
    <w:rPr>
      <w:rFonts w:cs="Times New Roman"/>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cs="Times New Roman"/>
    </w:rPr>
  </w:style>
  <w:style w:type="character" w:styleId="ListLabel1265">
    <w:name w:val="ListLabel 1265"/>
    <w:qFormat/>
    <w:rPr>
      <w:rFonts w:cs="Times New Roman"/>
    </w:rPr>
  </w:style>
  <w:style w:type="character" w:styleId="ListLabel1266">
    <w:name w:val="ListLabel 1266"/>
    <w:qFormat/>
    <w:rPr>
      <w:rFonts w:ascii="Arial" w:hAnsi="Arial" w:cs="Times New Roman"/>
      <w:b/>
    </w:rPr>
  </w:style>
  <w:style w:type="character" w:styleId="ListLabel1267">
    <w:name w:val="ListLabel 1267"/>
    <w:qFormat/>
    <w:rPr>
      <w:b w:val="false"/>
      <w:sz w:val="20"/>
    </w:rPr>
  </w:style>
  <w:style w:type="character" w:styleId="ListLabel1268">
    <w:name w:val="ListLabel 1268"/>
    <w:qFormat/>
    <w:rPr>
      <w:rFonts w:ascii="Arial" w:hAnsi="Arial" w:cs="Times New Roman"/>
      <w:b/>
      <w:bCs/>
    </w:rPr>
  </w:style>
  <w:style w:type="character" w:styleId="ListLabel1269">
    <w:name w:val="ListLabel 1269"/>
    <w:qFormat/>
    <w:rPr>
      <w:rFonts w:cs="Times New Roman"/>
      <w:b/>
    </w:rPr>
  </w:style>
  <w:style w:type="character" w:styleId="ListLabel1270">
    <w:name w:val="ListLabel 1270"/>
    <w:qFormat/>
    <w:rPr>
      <w:rFonts w:cs="Times New Roman"/>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cs="Times New Roman"/>
    </w:rPr>
  </w:style>
  <w:style w:type="character" w:styleId="ListLabel1274">
    <w:name w:val="ListLabel 1274"/>
    <w:qFormat/>
    <w:rPr>
      <w:rFonts w:cs="Times New Roman"/>
    </w:rPr>
  </w:style>
  <w:style w:type="character" w:styleId="ListLabel1275">
    <w:name w:val="ListLabel 1275"/>
    <w:qFormat/>
    <w:rPr>
      <w:rFonts w:ascii="Arial" w:hAnsi="Arial" w:cs="Times New Roman"/>
      <w:b/>
    </w:rPr>
  </w:style>
  <w:style w:type="character" w:styleId="ListLabel1276">
    <w:name w:val="ListLabel 1276"/>
    <w:qFormat/>
    <w:rPr>
      <w:rFonts w:ascii="Arial" w:hAnsi="Arial" w:eastAsia="Times New Roman" w:cs="Arial"/>
    </w:rPr>
  </w:style>
  <w:style w:type="character" w:styleId="ListLabel1277">
    <w:name w:val="ListLabel 1277"/>
    <w:qFormat/>
    <w:rPr>
      <w:rFonts w:cs="Times New Roman"/>
    </w:rPr>
  </w:style>
  <w:style w:type="character" w:styleId="ListLabel1278">
    <w:name w:val="ListLabel 1278"/>
    <w:qFormat/>
    <w:rPr>
      <w:rFonts w:ascii="Arial" w:hAnsi="Arial" w:cs="Times New Roman"/>
      <w:b/>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ascii="Arial" w:hAnsi="Arial" w:cs="Times New Roman"/>
      <w:b/>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rPr>
  </w:style>
  <w:style w:type="character" w:styleId="ListLabel1289">
    <w:name w:val="ListLabel 1289"/>
    <w:qFormat/>
    <w:rPr>
      <w:rFonts w:cs="Times New Roman"/>
    </w:rPr>
  </w:style>
  <w:style w:type="character" w:styleId="ListLabel1290">
    <w:name w:val="ListLabel 1290"/>
    <w:qFormat/>
    <w:rPr>
      <w:rFonts w:cs="Times New Roman"/>
    </w:rPr>
  </w:style>
  <w:style w:type="character" w:styleId="ListLabel1291">
    <w:name w:val="ListLabel 1291"/>
    <w:qFormat/>
    <w:rPr>
      <w:rFonts w:cs="Times New Roman"/>
    </w:rPr>
  </w:style>
  <w:style w:type="character" w:styleId="ListLabel1292">
    <w:name w:val="ListLabel 1292"/>
    <w:qFormat/>
    <w:rPr>
      <w:rFonts w:ascii="Arial" w:hAnsi="Arial" w:eastAsia="Times New Roman" w:cs="Arial"/>
      <w:b/>
    </w:rPr>
  </w:style>
  <w:style w:type="character" w:styleId="ListLabel1293">
    <w:name w:val="ListLabel 1293"/>
    <w:qFormat/>
    <w:rPr>
      <w:rFonts w:cs="Times New Roman"/>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Arial" w:hAnsi="Arial" w:cs="Times New Roman"/>
      <w:b/>
      <w:color w:val="00000A"/>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ascii="Arial" w:hAnsi="Arial" w:cs="Times New Roman"/>
      <w:b/>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ascii="Arial" w:hAnsi="Arial" w:cs="Times New Roman"/>
      <w:b/>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eastAsia="Times New Roman" w:cs="Segoe UI"/>
      <w:b w:val="false"/>
    </w:rPr>
  </w:style>
  <w:style w:type="character" w:styleId="ListLabel1329">
    <w:name w:val="ListLabel 1329"/>
    <w:qFormat/>
    <w:rPr>
      <w:rFonts w:cs="Times New Roman"/>
    </w:rPr>
  </w:style>
  <w:style w:type="character" w:styleId="ListLabel1330">
    <w:name w:val="ListLabel 1330"/>
    <w:qFormat/>
    <w:rPr>
      <w:rFonts w:cs="Times New Roman"/>
    </w:rPr>
  </w:style>
  <w:style w:type="character" w:styleId="ListLabel1331">
    <w:name w:val="ListLabel 1331"/>
    <w:qFormat/>
    <w:rPr>
      <w:rFonts w:ascii="Arial" w:hAnsi="Arial" w:cs="Times New Roman"/>
      <w:b/>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ascii="Arial" w:hAnsi="Arial" w:cs="Times New Roman"/>
      <w:b/>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ascii="Arial" w:hAnsi="Arial" w:cs="Times New Roman"/>
      <w:b/>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Arial" w:hAnsi="Arial" w:cs="Times New Roman"/>
      <w:b/>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Arial" w:hAnsi="Arial" w:cs="Times New Roman"/>
      <w:b/>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b/>
      <w:color w:val="00000A"/>
    </w:rPr>
  </w:style>
  <w:style w:type="character" w:styleId="ListLabel1368">
    <w:name w:val="ListLabel 1368"/>
    <w:qFormat/>
    <w:rPr>
      <w:rFonts w:cs="Times New Roman"/>
    </w:rPr>
  </w:style>
  <w:style w:type="character" w:styleId="ListLabel1369">
    <w:name w:val="ListLabel 1369"/>
    <w:qFormat/>
    <w:rPr>
      <w:rFonts w:cs="Times New Roman"/>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cs="Times New Roman"/>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Arial" w:hAnsi="Arial" w:cs="Times New Roman"/>
      <w:b/>
      <w:i w:val="false"/>
      <w:sz w:val="20"/>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ascii="Arial" w:hAnsi="Arial" w:eastAsia="Times New Roman" w:cs="Arial"/>
      <w:b/>
      <w:color w:val="00000A"/>
    </w:rPr>
  </w:style>
  <w:style w:type="character" w:styleId="ListLabel1392">
    <w:name w:val="ListLabel 1392"/>
    <w:qFormat/>
    <w:rPr>
      <w:rFonts w:cs="Times New Roman"/>
      <w:b w:val="false"/>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eastAsia="Times New Roman" w:cs="Arial"/>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ascii="Arial" w:hAnsi="Arial" w:eastAsia="Times New Roman" w:cs="Arial"/>
      <w:b/>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cs="Times New Roman"/>
    </w:rPr>
  </w:style>
  <w:style w:type="character" w:styleId="ListLabel1409">
    <w:name w:val="ListLabel 1409"/>
    <w:qFormat/>
    <w:rPr>
      <w:rFonts w:ascii="Arial" w:hAnsi="Arial" w:cs="Times New Roman"/>
      <w:b/>
      <w:color w:val="00000A"/>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cs="Times New Roman"/>
    </w:rPr>
  </w:style>
  <w:style w:type="character" w:styleId="ListLabel1418">
    <w:name w:val="ListLabel 1418"/>
    <w:qFormat/>
    <w:rPr>
      <w:rFonts w:eastAsia="Times New Roman" w:cs="Arial"/>
      <w:b/>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cs="Times New Roman"/>
      <w:b/>
      <w:sz w:val="22"/>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sz w:val="22"/>
      <w:szCs w:val="22"/>
    </w:rPr>
  </w:style>
  <w:style w:type="character" w:styleId="ListLabel1437">
    <w:name w:val="ListLabel 1437"/>
    <w:qFormat/>
    <w:rPr>
      <w:rFonts w:ascii="Arial" w:hAnsi="Arial"/>
      <w:sz w:val="22"/>
      <w:szCs w:val="22"/>
    </w:rPr>
  </w:style>
  <w:style w:type="character" w:styleId="ListLabel1438">
    <w:name w:val="ListLabel 1438"/>
    <w:qFormat/>
    <w:rPr>
      <w:rFonts w:ascii="Arial" w:hAnsi="Arial" w:eastAsia="Times New Roman" w:cs="Arial"/>
    </w:rPr>
  </w:style>
  <w:style w:type="character" w:styleId="ListLabel1439">
    <w:name w:val="ListLabel 1439"/>
    <w:qFormat/>
    <w:rPr>
      <w:color w:val="00000A"/>
      <w:u w:val="none" w:color="FFFFFF"/>
    </w:rPr>
  </w:style>
  <w:style w:type="character" w:styleId="ListLabel1440">
    <w:name w:val="ListLabel 1440"/>
    <w:qFormat/>
    <w:rPr>
      <w:b w:val="false"/>
      <w:color w:val="00000A"/>
      <w:sz w:val="20"/>
    </w:rPr>
  </w:style>
  <w:style w:type="character" w:styleId="ListLabel1441">
    <w:name w:val="ListLabel 1441"/>
    <w:qFormat/>
    <w:rPr>
      <w:rFonts w:ascii="Arial" w:hAnsi="Arial"/>
      <w:color w:val="00000A"/>
      <w:u w:val="none" w:color="FFFFFF"/>
    </w:rPr>
  </w:style>
  <w:style w:type="character" w:styleId="ListLabel1442">
    <w:name w:val="ListLabel 1442"/>
    <w:qFormat/>
    <w:rPr>
      <w:rFonts w:ascii="Arial" w:hAnsi="Arial"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Symbol"/>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ascii="Arial" w:hAnsi="Arial"/>
      <w:b w:val="false"/>
      <w:sz w:val="20"/>
    </w:rPr>
  </w:style>
  <w:style w:type="character" w:styleId="ListLabel1452">
    <w:name w:val="ListLabel 1452"/>
    <w:qFormat/>
    <w:rPr>
      <w:rFonts w:cs="Times New Roman"/>
    </w:rPr>
  </w:style>
  <w:style w:type="character" w:styleId="ListLabel1453">
    <w:name w:val="ListLabel 1453"/>
    <w:qFormat/>
    <w:rPr>
      <w:rFonts w:eastAsia="Calibri" w:cs="Arial"/>
    </w:rPr>
  </w:style>
  <w:style w:type="character" w:styleId="ListLabel1454">
    <w:name w:val="ListLabel 1454"/>
    <w:qFormat/>
    <w:rPr>
      <w:sz w:val="22"/>
      <w:szCs w:val="22"/>
    </w:rPr>
  </w:style>
  <w:style w:type="character" w:styleId="ListLabel1455">
    <w:name w:val="ListLabel 1455"/>
    <w:qFormat/>
    <w:rPr>
      <w:sz w:val="22"/>
      <w:szCs w:val="22"/>
    </w:rPr>
  </w:style>
  <w:style w:type="character" w:styleId="ListLabel1456">
    <w:name w:val="ListLabel 1456"/>
    <w:qFormat/>
    <w:rPr>
      <w:sz w:val="22"/>
      <w:szCs w:val="22"/>
    </w:rPr>
  </w:style>
  <w:style w:type="character" w:styleId="ListLabel1457">
    <w:name w:val="ListLabel 1457"/>
    <w:qFormat/>
    <w:rPr>
      <w:sz w:val="22"/>
      <w:szCs w:val="22"/>
    </w:rPr>
  </w:style>
  <w:style w:type="character" w:styleId="ListLabel1458">
    <w:name w:val="ListLabel 1458"/>
    <w:qFormat/>
    <w:rPr>
      <w:sz w:val="22"/>
      <w:szCs w:val="22"/>
    </w:rPr>
  </w:style>
  <w:style w:type="character" w:styleId="ListLabel1459">
    <w:name w:val="ListLabel 1459"/>
    <w:qFormat/>
    <w:rPr>
      <w:sz w:val="22"/>
      <w:szCs w:val="22"/>
    </w:rPr>
  </w:style>
  <w:style w:type="character" w:styleId="ListLabel1460">
    <w:name w:val="ListLabel 1460"/>
    <w:qFormat/>
    <w:rPr>
      <w:sz w:val="22"/>
      <w:szCs w:val="22"/>
    </w:rPr>
  </w:style>
  <w:style w:type="character" w:styleId="ListLabel1461">
    <w:name w:val="ListLabel 1461"/>
    <w:qFormat/>
    <w:rPr>
      <w:sz w:val="22"/>
      <w:szCs w:val="22"/>
    </w:rPr>
  </w:style>
  <w:style w:type="character" w:styleId="ListLabel1462">
    <w:name w:val="ListLabel 1462"/>
    <w:qFormat/>
    <w:rPr>
      <w:rFonts w:ascii="Arial" w:hAnsi="Arial"/>
      <w:sz w:val="22"/>
      <w:szCs w:val="22"/>
    </w:rPr>
  </w:style>
  <w:style w:type="character" w:styleId="ListLabel1463">
    <w:name w:val="ListLabel 1463"/>
    <w:qFormat/>
    <w:rPr>
      <w:rFonts w:ascii="Arial" w:hAnsi="Arial"/>
      <w:sz w:val="22"/>
      <w:szCs w:val="22"/>
    </w:rPr>
  </w:style>
  <w:style w:type="character" w:styleId="ListLabel1464">
    <w:name w:val="ListLabel 1464"/>
    <w:qFormat/>
    <w:rPr>
      <w:sz w:val="22"/>
      <w:szCs w:val="22"/>
    </w:rPr>
  </w:style>
  <w:style w:type="character" w:styleId="ListLabel1465">
    <w:name w:val="ListLabel 1465"/>
    <w:qFormat/>
    <w:rPr>
      <w:sz w:val="22"/>
      <w:szCs w:val="22"/>
    </w:rPr>
  </w:style>
  <w:style w:type="character" w:styleId="ListLabel1466">
    <w:name w:val="ListLabel 1466"/>
    <w:qFormat/>
    <w:rPr>
      <w:sz w:val="22"/>
      <w:szCs w:val="22"/>
    </w:rPr>
  </w:style>
  <w:style w:type="character" w:styleId="ListLabel1467">
    <w:name w:val="ListLabel 1467"/>
    <w:qFormat/>
    <w:rPr>
      <w:sz w:val="22"/>
      <w:szCs w:val="22"/>
    </w:rPr>
  </w:style>
  <w:style w:type="character" w:styleId="ListLabel1468">
    <w:name w:val="ListLabel 1468"/>
    <w:qFormat/>
    <w:rPr>
      <w:sz w:val="22"/>
      <w:szCs w:val="22"/>
    </w:rPr>
  </w:style>
  <w:style w:type="character" w:styleId="ListLabel1469">
    <w:name w:val="ListLabel 1469"/>
    <w:qFormat/>
    <w:rPr>
      <w:sz w:val="22"/>
      <w:szCs w:val="22"/>
    </w:rPr>
  </w:style>
  <w:style w:type="character" w:styleId="ListLabel1470">
    <w:name w:val="ListLabel 1470"/>
    <w:qFormat/>
    <w:rPr>
      <w:sz w:val="22"/>
      <w:szCs w:val="22"/>
    </w:rPr>
  </w:style>
  <w:style w:type="character" w:styleId="ListLabel1471">
    <w:name w:val="ListLabel 1471"/>
    <w:qFormat/>
    <w:rPr>
      <w:rFonts w:ascii="Arial" w:hAnsi="Arial" w:eastAsia="Times New Roman" w:cs="Times New Roman"/>
      <w:sz w:val="22"/>
    </w:rPr>
  </w:style>
  <w:style w:type="character" w:styleId="ListLabel1472">
    <w:name w:val="ListLabel 1472"/>
    <w:qFormat/>
    <w:rPr>
      <w:rFonts w:ascii="Arial" w:hAnsi="Arial"/>
      <w:b w:val="false"/>
      <w:bCs/>
      <w:color w:val="000000"/>
      <w:sz w:val="22"/>
    </w:rPr>
  </w:style>
  <w:style w:type="character" w:styleId="ListLabel1473">
    <w:name w:val="ListLabel 1473"/>
    <w:qFormat/>
    <w:rPr>
      <w:rFonts w:ascii="Arial" w:hAnsi="Arial"/>
      <w:sz w:val="22"/>
      <w:szCs w:val="22"/>
    </w:rPr>
  </w:style>
  <w:style w:type="character" w:styleId="ListLabel1474">
    <w:name w:val="ListLabel 1474"/>
    <w:qFormat/>
    <w:rPr>
      <w:sz w:val="22"/>
      <w:szCs w:val="22"/>
    </w:rPr>
  </w:style>
  <w:style w:type="character" w:styleId="ListLabel1475">
    <w:name w:val="ListLabel 1475"/>
    <w:qFormat/>
    <w:rPr>
      <w:sz w:val="22"/>
      <w:szCs w:val="22"/>
    </w:rPr>
  </w:style>
  <w:style w:type="character" w:styleId="ListLabel1476">
    <w:name w:val="ListLabel 1476"/>
    <w:qFormat/>
    <w:rPr>
      <w:sz w:val="22"/>
      <w:szCs w:val="22"/>
    </w:rPr>
  </w:style>
  <w:style w:type="character" w:styleId="ListLabel1477">
    <w:name w:val="ListLabel 1477"/>
    <w:qFormat/>
    <w:rPr>
      <w:sz w:val="22"/>
      <w:szCs w:val="22"/>
    </w:rPr>
  </w:style>
  <w:style w:type="character" w:styleId="ListLabel1478">
    <w:name w:val="ListLabel 1478"/>
    <w:qFormat/>
    <w:rPr>
      <w:sz w:val="22"/>
      <w:szCs w:val="22"/>
    </w:rPr>
  </w:style>
  <w:style w:type="character" w:styleId="ListLabel1479">
    <w:name w:val="ListLabel 1479"/>
    <w:qFormat/>
    <w:rPr>
      <w:sz w:val="22"/>
      <w:szCs w:val="22"/>
    </w:rPr>
  </w:style>
  <w:style w:type="character" w:styleId="ListLabel1480">
    <w:name w:val="ListLabel 1480"/>
    <w:qFormat/>
    <w:rPr>
      <w:sz w:val="22"/>
      <w:szCs w:val="22"/>
    </w:rPr>
  </w:style>
  <w:style w:type="character" w:styleId="ListLabel1481">
    <w:name w:val="ListLabel 1481"/>
    <w:qFormat/>
    <w:rPr>
      <w:sz w:val="22"/>
      <w:szCs w:val="22"/>
    </w:rPr>
  </w:style>
  <w:style w:type="character" w:styleId="ListLabel1482">
    <w:name w:val="ListLabel 1482"/>
    <w:qFormat/>
    <w:rPr>
      <w:rFonts w:ascii="Arial" w:hAnsi="Arial"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ascii="Arial" w:hAnsi="Arial" w:cs="Times New Roman"/>
      <w:b/>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ascii="Arial" w:hAnsi="Arial" w:cs="Times New Roman"/>
      <w:b/>
    </w:rPr>
  </w:style>
  <w:style w:type="character" w:styleId="ListLabel1501">
    <w:name w:val="ListLabel 1501"/>
    <w:qFormat/>
    <w:rPr>
      <w:b w:val="false"/>
      <w:sz w:val="20"/>
    </w:rPr>
  </w:style>
  <w:style w:type="character" w:styleId="ListLabel1502">
    <w:name w:val="ListLabel 1502"/>
    <w:qFormat/>
    <w:rPr>
      <w:rFonts w:ascii="Arial" w:hAnsi="Arial" w:cs="Times New Roman"/>
      <w:b/>
      <w:bCs/>
    </w:rPr>
  </w:style>
  <w:style w:type="character" w:styleId="ListLabel1503">
    <w:name w:val="ListLabel 1503"/>
    <w:qFormat/>
    <w:rPr>
      <w:rFonts w:cs="Times New Roman"/>
      <w:b/>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ascii="Arial" w:hAnsi="Arial" w:cs="Times New Roman"/>
      <w:b/>
    </w:rPr>
  </w:style>
  <w:style w:type="character" w:styleId="ListLabel1510">
    <w:name w:val="ListLabel 1510"/>
    <w:qFormat/>
    <w:rPr>
      <w:rFonts w:ascii="Arial" w:hAnsi="Arial" w:eastAsia="Times New Roman" w:cs="Arial"/>
    </w:rPr>
  </w:style>
  <w:style w:type="character" w:styleId="ListLabel1511">
    <w:name w:val="ListLabel 1511"/>
    <w:qFormat/>
    <w:rPr>
      <w:rFonts w:cs="Times New Roman"/>
    </w:rPr>
  </w:style>
  <w:style w:type="character" w:styleId="ListLabel1512">
    <w:name w:val="ListLabel 1512"/>
    <w:qFormat/>
    <w:rPr>
      <w:rFonts w:ascii="Arial" w:hAnsi="Arial" w:cs="Times New Roman"/>
      <w:b/>
    </w:rPr>
  </w:style>
  <w:style w:type="character" w:styleId="ListLabel1513">
    <w:name w:val="ListLabel 1513"/>
    <w:qFormat/>
    <w:rPr>
      <w:rFonts w:cs="Times New Roman"/>
    </w:rPr>
  </w:style>
  <w:style w:type="character" w:styleId="ListLabel1514">
    <w:name w:val="ListLabel 1514"/>
    <w:qFormat/>
    <w:rPr>
      <w:rFonts w:cs="Times New Roman"/>
    </w:rPr>
  </w:style>
  <w:style w:type="character" w:styleId="ListLabel1515">
    <w:name w:val="ListLabel 1515"/>
    <w:qFormat/>
    <w:rPr>
      <w:rFonts w:cs="Times New Roman"/>
    </w:rPr>
  </w:style>
  <w:style w:type="character" w:styleId="ListLabel1516">
    <w:name w:val="ListLabel 1516"/>
    <w:qFormat/>
    <w:rPr>
      <w:rFonts w:cs="Times New Roman"/>
    </w:rPr>
  </w:style>
  <w:style w:type="character" w:styleId="ListLabel1517">
    <w:name w:val="ListLabel 1517"/>
    <w:qFormat/>
    <w:rPr>
      <w:rFonts w:ascii="Arial" w:hAnsi="Arial" w:cs="Times New Roman"/>
      <w:b/>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cs="Times New Roman"/>
    </w:rPr>
  </w:style>
  <w:style w:type="character" w:styleId="ListLabel1524">
    <w:name w:val="ListLabel 1524"/>
    <w:qFormat/>
    <w:rPr>
      <w:rFonts w:cs="Times New Roman"/>
    </w:rPr>
  </w:style>
  <w:style w:type="character" w:styleId="ListLabel1525">
    <w:name w:val="ListLabel 1525"/>
    <w:qFormat/>
    <w:rPr>
      <w:rFonts w:cs="Times New Roman"/>
    </w:rPr>
  </w:style>
  <w:style w:type="character" w:styleId="ListLabel1526">
    <w:name w:val="ListLabel 1526"/>
    <w:qFormat/>
    <w:rPr>
      <w:rFonts w:ascii="Arial" w:hAnsi="Arial" w:eastAsia="Times New Roman" w:cs="Arial"/>
      <w:b/>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cs="Times New Roman"/>
    </w:rPr>
  </w:style>
  <w:style w:type="character" w:styleId="ListLabel1533">
    <w:name w:val="ListLabel 1533"/>
    <w:qFormat/>
    <w:rPr>
      <w:rFonts w:cs="Times New Roman"/>
    </w:rPr>
  </w:style>
  <w:style w:type="character" w:styleId="ListLabel1534">
    <w:name w:val="ListLabel 1534"/>
    <w:qFormat/>
    <w:rPr>
      <w:rFonts w:cs="Times New Roman"/>
    </w:rPr>
  </w:style>
  <w:style w:type="character" w:styleId="ListLabel1535">
    <w:name w:val="ListLabel 1535"/>
    <w:qFormat/>
    <w:rPr>
      <w:rFonts w:ascii="Arial" w:hAnsi="Arial" w:cs="Times New Roman"/>
      <w:b/>
      <w:color w:val="00000A"/>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cs="Times New Roman"/>
    </w:rPr>
  </w:style>
  <w:style w:type="character" w:styleId="ListLabel1542">
    <w:name w:val="ListLabel 1542"/>
    <w:qFormat/>
    <w:rPr>
      <w:rFonts w:cs="Times New Roman"/>
    </w:rPr>
  </w:style>
  <w:style w:type="character" w:styleId="ListLabel1543">
    <w:name w:val="ListLabel 1543"/>
    <w:qFormat/>
    <w:rPr>
      <w:rFonts w:cs="Times New Roman"/>
    </w:rPr>
  </w:style>
  <w:style w:type="character" w:styleId="ListLabel1544">
    <w:name w:val="ListLabel 1544"/>
    <w:qFormat/>
    <w:rPr>
      <w:rFonts w:ascii="Arial" w:hAnsi="Arial" w:cs="Times New Roman"/>
      <w:b/>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Times New Roman"/>
    </w:rPr>
  </w:style>
  <w:style w:type="character" w:styleId="ListLabel1551">
    <w:name w:val="ListLabel 1551"/>
    <w:qFormat/>
    <w:rPr>
      <w:rFonts w:cs="Times New Roman"/>
    </w:rPr>
  </w:style>
  <w:style w:type="character" w:styleId="ListLabel1552">
    <w:name w:val="ListLabel 1552"/>
    <w:qFormat/>
    <w:rPr>
      <w:rFonts w:cs="Times New Roman"/>
    </w:rPr>
  </w:style>
  <w:style w:type="character" w:styleId="ListLabel1553">
    <w:name w:val="ListLabel 1553"/>
    <w:qFormat/>
    <w:rPr>
      <w:rFonts w:ascii="Arial" w:hAnsi="Arial" w:cs="Times New Roman"/>
      <w:b/>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eastAsia="Times New Roman" w:cs="Segoe UI"/>
      <w:b w:val="false"/>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ascii="Arial" w:hAnsi="Arial" w:cs="Times New Roman"/>
      <w:b/>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ascii="Arial" w:hAnsi="Arial" w:cs="Times New Roman"/>
      <w:b/>
    </w:rPr>
  </w:style>
  <w:style w:type="character" w:styleId="ListLabel1572">
    <w:name w:val="ListLabel 1572"/>
    <w:qFormat/>
    <w:rPr>
      <w:rFonts w:cs="Times New Roman"/>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Arial" w:hAnsi="Arial" w:cs="Times New Roman"/>
      <w:b/>
    </w:rPr>
  </w:style>
  <w:style w:type="character" w:styleId="ListLabel1581">
    <w:name w:val="ListLabel 1581"/>
    <w:qFormat/>
    <w:rPr>
      <w:rFonts w:cs="Times New Roman"/>
    </w:rPr>
  </w:style>
  <w:style w:type="character" w:styleId="ListLabel1582">
    <w:name w:val="ListLabel 1582"/>
    <w:qFormat/>
    <w:rPr>
      <w:rFonts w:cs="Times New Roman"/>
    </w:rPr>
  </w:style>
  <w:style w:type="character" w:styleId="ListLabel1583">
    <w:name w:val="ListLabel 1583"/>
    <w:qFormat/>
    <w:rPr>
      <w:rFonts w:cs="Times New Roman"/>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ascii="Arial" w:hAnsi="Arial"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cs="Times New Roman"/>
    </w:rPr>
  </w:style>
  <w:style w:type="character" w:styleId="ListLabel1598">
    <w:name w:val="ListLabel 1598"/>
    <w:qFormat/>
    <w:rPr>
      <w:rFonts w:ascii="Arial" w:hAnsi="Arial" w:cs="Times New Roman"/>
      <w:b/>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b/>
      <w:color w:val="00000A"/>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cs="Times New Roman"/>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ascii="Arial" w:hAnsi="Arial" w:cs="Times New Roman"/>
      <w:b/>
      <w:i w:val="false"/>
      <w:sz w:val="20"/>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cs="Times New Roman"/>
    </w:rPr>
  </w:style>
  <w:style w:type="character" w:styleId="ListLabel1623">
    <w:name w:val="ListLabel 1623"/>
    <w:qFormat/>
    <w:rPr>
      <w:rFonts w:cs="Times New Roman"/>
    </w:rPr>
  </w:style>
  <w:style w:type="character" w:styleId="ListLabel1624">
    <w:name w:val="ListLabel 1624"/>
    <w:qFormat/>
    <w:rPr>
      <w:rFonts w:cs="Times New Roman"/>
    </w:rPr>
  </w:style>
  <w:style w:type="character" w:styleId="ListLabel1625">
    <w:name w:val="ListLabel 1625"/>
    <w:qFormat/>
    <w:rPr>
      <w:rFonts w:ascii="Arial" w:hAnsi="Arial" w:eastAsia="Times New Roman" w:cs="Arial"/>
      <w:b/>
      <w:color w:val="00000A"/>
    </w:rPr>
  </w:style>
  <w:style w:type="character" w:styleId="ListLabel1626">
    <w:name w:val="ListLabel 1626"/>
    <w:qFormat/>
    <w:rPr>
      <w:rFonts w:cs="Times New Roman"/>
      <w:b w:val="false"/>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eastAsia="Times New Roman" w:cs="Arial"/>
    </w:rPr>
  </w:style>
  <w:style w:type="character" w:styleId="ListLabel1631">
    <w:name w:val="ListLabel 1631"/>
    <w:qFormat/>
    <w:rPr>
      <w:rFonts w:cs="Times New Roman"/>
    </w:rPr>
  </w:style>
  <w:style w:type="character" w:styleId="ListLabel1632">
    <w:name w:val="ListLabel 1632"/>
    <w:qFormat/>
    <w:rPr>
      <w:rFonts w:cs="Times New Roman"/>
    </w:rPr>
  </w:style>
  <w:style w:type="character" w:styleId="ListLabel1633">
    <w:name w:val="ListLabel 1633"/>
    <w:qFormat/>
    <w:rPr>
      <w:rFonts w:cs="Times New Roman"/>
    </w:rPr>
  </w:style>
  <w:style w:type="character" w:styleId="ListLabel1634">
    <w:name w:val="ListLabel 1634"/>
    <w:qFormat/>
    <w:rPr>
      <w:rFonts w:ascii="Arial" w:hAnsi="Arial" w:eastAsia="Times New Roman" w:cs="Arial"/>
      <w:b/>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cs="Times New Roman"/>
    </w:rPr>
  </w:style>
  <w:style w:type="character" w:styleId="ListLabel1643">
    <w:name w:val="ListLabel 1643"/>
    <w:qFormat/>
    <w:rPr>
      <w:rFonts w:ascii="Arial" w:hAnsi="Arial" w:cs="Times New Roman"/>
      <w:b/>
      <w:color w:val="00000A"/>
    </w:rPr>
  </w:style>
  <w:style w:type="character" w:styleId="ListLabel1644">
    <w:name w:val="ListLabel 1644"/>
    <w:qFormat/>
    <w:rPr>
      <w:rFonts w:cs="Times New Roman"/>
    </w:rPr>
  </w:style>
  <w:style w:type="character" w:styleId="ListLabel1645">
    <w:name w:val="ListLabel 1645"/>
    <w:qFormat/>
    <w:rPr>
      <w:rFonts w:cs="Times New Roman"/>
    </w:rPr>
  </w:style>
  <w:style w:type="character" w:styleId="ListLabel1646">
    <w:name w:val="ListLabel 1646"/>
    <w:qFormat/>
    <w:rPr>
      <w:rFonts w:cs="Times New Roman"/>
    </w:rPr>
  </w:style>
  <w:style w:type="character" w:styleId="ListLabel1647">
    <w:name w:val="ListLabel 1647"/>
    <w:qFormat/>
    <w:rPr>
      <w:rFonts w:cs="Times New Roman"/>
    </w:rPr>
  </w:style>
  <w:style w:type="character" w:styleId="ListLabel1648">
    <w:name w:val="ListLabel 1648"/>
    <w:qFormat/>
    <w:rPr>
      <w:rFonts w:cs="Times New Roman"/>
    </w:rPr>
  </w:style>
  <w:style w:type="character" w:styleId="ListLabel1649">
    <w:name w:val="ListLabel 1649"/>
    <w:qFormat/>
    <w:rPr>
      <w:rFonts w:cs="Times New Roman"/>
    </w:rPr>
  </w:style>
  <w:style w:type="character" w:styleId="ListLabel1650">
    <w:name w:val="ListLabel 1650"/>
    <w:qFormat/>
    <w:rPr>
      <w:rFonts w:cs="Times New Roman"/>
    </w:rPr>
  </w:style>
  <w:style w:type="character" w:styleId="ListLabel1651">
    <w:name w:val="ListLabel 1651"/>
    <w:qFormat/>
    <w:rPr>
      <w:rFonts w:cs="Times New Roman"/>
    </w:rPr>
  </w:style>
  <w:style w:type="character" w:styleId="ListLabel1652">
    <w:name w:val="ListLabel 1652"/>
    <w:qFormat/>
    <w:rPr>
      <w:rFonts w:eastAsia="Times New Roman" w:cs="Arial"/>
      <w:b/>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cs="Times New Roman"/>
    </w:rPr>
  </w:style>
  <w:style w:type="character" w:styleId="ListLabel1659">
    <w:name w:val="ListLabel 1659"/>
    <w:qFormat/>
    <w:rPr>
      <w:rFonts w:cs="Times New Roman"/>
    </w:rPr>
  </w:style>
  <w:style w:type="character" w:styleId="ListLabel1660">
    <w:name w:val="ListLabel 1660"/>
    <w:qFormat/>
    <w:rPr>
      <w:rFonts w:cs="Times New Roman"/>
    </w:rPr>
  </w:style>
  <w:style w:type="character" w:styleId="ListLabel1661">
    <w:name w:val="ListLabel 1661"/>
    <w:qFormat/>
    <w:rPr>
      <w:rFonts w:cs="Times New Roman"/>
      <w:b/>
      <w:sz w:val="22"/>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cs="Times New Roman"/>
    </w:rPr>
  </w:style>
  <w:style w:type="character" w:styleId="ListLabel1668">
    <w:name w:val="ListLabel 1668"/>
    <w:qFormat/>
    <w:rPr>
      <w:rFonts w:cs="Times New Roman"/>
    </w:rPr>
  </w:style>
  <w:style w:type="character" w:styleId="ListLabel1669">
    <w:name w:val="ListLabel 1669"/>
    <w:qFormat/>
    <w:rPr>
      <w:rFonts w:cs="Times New Roman"/>
    </w:rPr>
  </w:style>
  <w:style w:type="character" w:styleId="ListLabel1670">
    <w:name w:val="ListLabel 1670"/>
    <w:qFormat/>
    <w:rPr>
      <w:sz w:val="22"/>
      <w:szCs w:val="22"/>
    </w:rPr>
  </w:style>
  <w:style w:type="character" w:styleId="ListLabel1671">
    <w:name w:val="ListLabel 1671"/>
    <w:qFormat/>
    <w:rPr>
      <w:rFonts w:ascii="Arial" w:hAnsi="Arial"/>
      <w:sz w:val="22"/>
      <w:szCs w:val="22"/>
    </w:rPr>
  </w:style>
  <w:style w:type="character" w:styleId="ListLabel1672">
    <w:name w:val="ListLabel 1672"/>
    <w:qFormat/>
    <w:rPr>
      <w:rFonts w:ascii="Arial" w:hAnsi="Arial" w:eastAsia="Times New Roman" w:cs="Arial"/>
    </w:rPr>
  </w:style>
  <w:style w:type="character" w:styleId="ListLabel1673">
    <w:name w:val="ListLabel 1673"/>
    <w:qFormat/>
    <w:rPr>
      <w:color w:val="00000A"/>
      <w:u w:val="none" w:color="FFFFFF"/>
    </w:rPr>
  </w:style>
  <w:style w:type="character" w:styleId="ListLabel1674">
    <w:name w:val="ListLabel 1674"/>
    <w:qFormat/>
    <w:rPr>
      <w:b w:val="false"/>
      <w:color w:val="00000A"/>
      <w:sz w:val="20"/>
    </w:rPr>
  </w:style>
  <w:style w:type="character" w:styleId="ListLabel1675">
    <w:name w:val="ListLabel 1675"/>
    <w:qFormat/>
    <w:rPr>
      <w:rFonts w:ascii="Arial" w:hAnsi="Arial"/>
      <w:color w:val="00000A"/>
      <w:u w:val="none" w:color="FFFFFF"/>
    </w:rPr>
  </w:style>
  <w:style w:type="character" w:styleId="ListLabel1676">
    <w:name w:val="ListLabel 1676"/>
    <w:qFormat/>
    <w:rPr>
      <w:rFonts w:ascii="Arial" w:hAnsi="Arial" w:cs="Symbol"/>
    </w:rPr>
  </w:style>
  <w:style w:type="character" w:styleId="ListLabel1677">
    <w:name w:val="ListLabel 1677"/>
    <w:qFormat/>
    <w:rPr>
      <w:rFonts w:cs="Courier New"/>
    </w:rPr>
  </w:style>
  <w:style w:type="character" w:styleId="ListLabel1678">
    <w:name w:val="ListLabel 1678"/>
    <w:qFormat/>
    <w:rPr>
      <w:rFonts w:cs="Wingdings"/>
    </w:rPr>
  </w:style>
  <w:style w:type="character" w:styleId="ListLabel1679">
    <w:name w:val="ListLabel 1679"/>
    <w:qFormat/>
    <w:rPr>
      <w:rFonts w:cs="Symbol"/>
    </w:rPr>
  </w:style>
  <w:style w:type="character" w:styleId="ListLabel1680">
    <w:name w:val="ListLabel 1680"/>
    <w:qFormat/>
    <w:rPr>
      <w:rFonts w:cs="Courier New"/>
    </w:rPr>
  </w:style>
  <w:style w:type="character" w:styleId="ListLabel1681">
    <w:name w:val="ListLabel 1681"/>
    <w:qFormat/>
    <w:rPr>
      <w:rFonts w:cs="Wingdings"/>
    </w:rPr>
  </w:style>
  <w:style w:type="character" w:styleId="ListLabel1682">
    <w:name w:val="ListLabel 1682"/>
    <w:qFormat/>
    <w:rPr>
      <w:rFonts w:cs="Symbol"/>
    </w:rPr>
  </w:style>
  <w:style w:type="character" w:styleId="ListLabel1683">
    <w:name w:val="ListLabel 1683"/>
    <w:qFormat/>
    <w:rPr>
      <w:rFonts w:cs="Courier New"/>
    </w:rPr>
  </w:style>
  <w:style w:type="character" w:styleId="ListLabel1684">
    <w:name w:val="ListLabel 1684"/>
    <w:qFormat/>
    <w:rPr>
      <w:rFonts w:cs="Wingdings"/>
    </w:rPr>
  </w:style>
  <w:style w:type="character" w:styleId="ListLabel1685">
    <w:name w:val="ListLabel 1685"/>
    <w:qFormat/>
    <w:rPr>
      <w:rFonts w:ascii="Arial" w:hAnsi="Arial"/>
      <w:b w:val="false"/>
      <w:sz w:val="20"/>
    </w:rPr>
  </w:style>
  <w:style w:type="character" w:styleId="ListLabel1686">
    <w:name w:val="ListLabel 1686"/>
    <w:qFormat/>
    <w:rPr>
      <w:rFonts w:cs="Times New Roman"/>
    </w:rPr>
  </w:style>
  <w:style w:type="character" w:styleId="ListLabel1687">
    <w:name w:val="ListLabel 1687"/>
    <w:qFormat/>
    <w:rPr>
      <w:rFonts w:eastAsia="Calibri" w:cs="Arial"/>
    </w:rPr>
  </w:style>
  <w:style w:type="character" w:styleId="ListLabel1688">
    <w:name w:val="ListLabel 1688"/>
    <w:qFormat/>
    <w:rPr>
      <w:sz w:val="22"/>
      <w:szCs w:val="22"/>
    </w:rPr>
  </w:style>
  <w:style w:type="character" w:styleId="ListLabel1689">
    <w:name w:val="ListLabel 1689"/>
    <w:qFormat/>
    <w:rPr>
      <w:sz w:val="22"/>
      <w:szCs w:val="22"/>
    </w:rPr>
  </w:style>
  <w:style w:type="character" w:styleId="ListLabel1690">
    <w:name w:val="ListLabel 1690"/>
    <w:qFormat/>
    <w:rPr>
      <w:sz w:val="22"/>
      <w:szCs w:val="22"/>
    </w:rPr>
  </w:style>
  <w:style w:type="character" w:styleId="ListLabel1691">
    <w:name w:val="ListLabel 1691"/>
    <w:qFormat/>
    <w:rPr>
      <w:sz w:val="22"/>
      <w:szCs w:val="22"/>
    </w:rPr>
  </w:style>
  <w:style w:type="character" w:styleId="ListLabel1692">
    <w:name w:val="ListLabel 1692"/>
    <w:qFormat/>
    <w:rPr>
      <w:sz w:val="22"/>
      <w:szCs w:val="22"/>
    </w:rPr>
  </w:style>
  <w:style w:type="character" w:styleId="ListLabel1693">
    <w:name w:val="ListLabel 1693"/>
    <w:qFormat/>
    <w:rPr>
      <w:sz w:val="22"/>
      <w:szCs w:val="22"/>
    </w:rPr>
  </w:style>
  <w:style w:type="character" w:styleId="ListLabel1694">
    <w:name w:val="ListLabel 1694"/>
    <w:qFormat/>
    <w:rPr>
      <w:sz w:val="22"/>
      <w:szCs w:val="22"/>
    </w:rPr>
  </w:style>
  <w:style w:type="character" w:styleId="ListLabel1695">
    <w:name w:val="ListLabel 1695"/>
    <w:qFormat/>
    <w:rPr>
      <w:sz w:val="22"/>
      <w:szCs w:val="22"/>
    </w:rPr>
  </w:style>
  <w:style w:type="character" w:styleId="ListLabel1696">
    <w:name w:val="ListLabel 1696"/>
    <w:qFormat/>
    <w:rPr>
      <w:rFonts w:ascii="Arial" w:hAnsi="Arial"/>
      <w:sz w:val="22"/>
      <w:szCs w:val="22"/>
    </w:rPr>
  </w:style>
  <w:style w:type="character" w:styleId="ListLabel1697">
    <w:name w:val="ListLabel 1697"/>
    <w:qFormat/>
    <w:rPr>
      <w:rFonts w:ascii="Arial" w:hAnsi="Arial"/>
      <w:sz w:val="22"/>
      <w:szCs w:val="22"/>
    </w:rPr>
  </w:style>
  <w:style w:type="character" w:styleId="ListLabel1698">
    <w:name w:val="ListLabel 1698"/>
    <w:qFormat/>
    <w:rPr>
      <w:sz w:val="22"/>
      <w:szCs w:val="22"/>
    </w:rPr>
  </w:style>
  <w:style w:type="character" w:styleId="ListLabel1699">
    <w:name w:val="ListLabel 1699"/>
    <w:qFormat/>
    <w:rPr>
      <w:sz w:val="22"/>
      <w:szCs w:val="22"/>
    </w:rPr>
  </w:style>
  <w:style w:type="character" w:styleId="ListLabel1700">
    <w:name w:val="ListLabel 1700"/>
    <w:qFormat/>
    <w:rPr>
      <w:sz w:val="22"/>
      <w:szCs w:val="22"/>
    </w:rPr>
  </w:style>
  <w:style w:type="character" w:styleId="ListLabel1701">
    <w:name w:val="ListLabel 1701"/>
    <w:qFormat/>
    <w:rPr>
      <w:sz w:val="22"/>
      <w:szCs w:val="22"/>
    </w:rPr>
  </w:style>
  <w:style w:type="character" w:styleId="ListLabel1702">
    <w:name w:val="ListLabel 1702"/>
    <w:qFormat/>
    <w:rPr>
      <w:sz w:val="22"/>
      <w:szCs w:val="22"/>
    </w:rPr>
  </w:style>
  <w:style w:type="character" w:styleId="ListLabel1703">
    <w:name w:val="ListLabel 1703"/>
    <w:qFormat/>
    <w:rPr>
      <w:sz w:val="22"/>
      <w:szCs w:val="22"/>
    </w:rPr>
  </w:style>
  <w:style w:type="character" w:styleId="ListLabel1704">
    <w:name w:val="ListLabel 1704"/>
    <w:qFormat/>
    <w:rPr>
      <w:sz w:val="22"/>
      <w:szCs w:val="22"/>
    </w:rPr>
  </w:style>
  <w:style w:type="character" w:styleId="ListLabel1705">
    <w:name w:val="ListLabel 1705"/>
    <w:qFormat/>
    <w:rPr>
      <w:rFonts w:ascii="Arial" w:hAnsi="Arial" w:eastAsia="Times New Roman" w:cs="Times New Roman"/>
      <w:sz w:val="22"/>
    </w:rPr>
  </w:style>
  <w:style w:type="character" w:styleId="ListLabel1706">
    <w:name w:val="ListLabel 1706"/>
    <w:qFormat/>
    <w:rPr>
      <w:rFonts w:ascii="Arial" w:hAnsi="Arial"/>
      <w:b w:val="false"/>
      <w:bCs/>
      <w:color w:val="000000"/>
      <w:sz w:val="22"/>
    </w:rPr>
  </w:style>
  <w:style w:type="character" w:styleId="ListLabel1707">
    <w:name w:val="ListLabel 1707"/>
    <w:qFormat/>
    <w:rPr>
      <w:rFonts w:ascii="Arial" w:hAnsi="Arial"/>
      <w:sz w:val="22"/>
      <w:szCs w:val="22"/>
    </w:rPr>
  </w:style>
  <w:style w:type="character" w:styleId="ListLabel1708">
    <w:name w:val="ListLabel 1708"/>
    <w:qFormat/>
    <w:rPr>
      <w:sz w:val="22"/>
      <w:szCs w:val="22"/>
    </w:rPr>
  </w:style>
  <w:style w:type="character" w:styleId="ListLabel1709">
    <w:name w:val="ListLabel 1709"/>
    <w:qFormat/>
    <w:rPr>
      <w:sz w:val="22"/>
      <w:szCs w:val="22"/>
    </w:rPr>
  </w:style>
  <w:style w:type="character" w:styleId="ListLabel1710">
    <w:name w:val="ListLabel 1710"/>
    <w:qFormat/>
    <w:rPr>
      <w:sz w:val="22"/>
      <w:szCs w:val="22"/>
    </w:rPr>
  </w:style>
  <w:style w:type="character" w:styleId="ListLabel1711">
    <w:name w:val="ListLabel 1711"/>
    <w:qFormat/>
    <w:rPr>
      <w:sz w:val="22"/>
      <w:szCs w:val="22"/>
    </w:rPr>
  </w:style>
  <w:style w:type="character" w:styleId="ListLabel1712">
    <w:name w:val="ListLabel 1712"/>
    <w:qFormat/>
    <w:rPr>
      <w:sz w:val="22"/>
      <w:szCs w:val="22"/>
    </w:rPr>
  </w:style>
  <w:style w:type="character" w:styleId="ListLabel1713">
    <w:name w:val="ListLabel 1713"/>
    <w:qFormat/>
    <w:rPr>
      <w:sz w:val="22"/>
      <w:szCs w:val="22"/>
    </w:rPr>
  </w:style>
  <w:style w:type="character" w:styleId="ListLabel1714">
    <w:name w:val="ListLabel 1714"/>
    <w:qFormat/>
    <w:rPr>
      <w:sz w:val="22"/>
      <w:szCs w:val="22"/>
    </w:rPr>
  </w:style>
  <w:style w:type="character" w:styleId="ListLabel1715">
    <w:name w:val="ListLabel 1715"/>
    <w:qFormat/>
    <w:rPr>
      <w:sz w:val="22"/>
      <w:szCs w:val="22"/>
    </w:rPr>
  </w:style>
  <w:style w:type="character" w:styleId="ListLabel1716">
    <w:name w:val="ListLabel 1716"/>
    <w:qFormat/>
    <w:rPr>
      <w:rFonts w:ascii="Arial" w:hAnsi="Arial"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6525aa"/>
    <w:pPr>
      <w:widowControl/>
      <w:bidi w:val="0"/>
      <w:spacing w:lineRule="auto" w:line="240" w:before="0" w:after="0"/>
      <w:jc w:val="left"/>
    </w:pPr>
    <w:rPr>
      <w:rFonts w:ascii="Arial" w:hAnsi="Arial" w:eastAsia="Calibri" w:cs="Arial"/>
      <w:color w:val="000000"/>
      <w:sz w:val="24"/>
      <w:szCs w:val="24"/>
      <w:lang w:val="pl-PL" w:eastAsia="en-US" w:bidi="ar-SA"/>
    </w:rPr>
  </w:style>
  <w:style w:type="paragraph" w:styleId="Style20" w:customStyle="1">
    <w:name w:val="Style20"/>
    <w:basedOn w:val="Normal"/>
    <w:uiPriority w:val="99"/>
    <w:qFormat/>
    <w:rsid w:val="008d2d78"/>
    <w:pPr>
      <w:widowControl w:val="false"/>
      <w:spacing w:lineRule="exact" w:line="250" w:before="0" w:after="0"/>
      <w:ind w:hanging="706"/>
    </w:pPr>
    <w:rPr>
      <w:rFonts w:ascii="Tahoma" w:hAnsi="Tahoma" w:eastAsia="" w:cs="Tahoma" w:eastAsiaTheme="minorEastAsia"/>
      <w:sz w:val="24"/>
      <w:szCs w:val="24"/>
      <w:lang w:eastAsia="pl-PL"/>
    </w:rPr>
  </w:style>
  <w:style w:type="paragraph" w:styleId="Style25" w:customStyle="1">
    <w:name w:val="Style25"/>
    <w:basedOn w:val="Normal"/>
    <w:uiPriority w:val="99"/>
    <w:qFormat/>
    <w:rsid w:val="008d2d78"/>
    <w:pPr>
      <w:widowControl w:val="false"/>
      <w:spacing w:lineRule="exact" w:line="242" w:before="0" w:after="0"/>
      <w:jc w:val="both"/>
    </w:pPr>
    <w:rPr>
      <w:rFonts w:ascii="Tahoma" w:hAnsi="Tahoma" w:eastAsia="" w:cs="Tahoma" w:eastAsiaTheme="minorEastAsia"/>
      <w:sz w:val="24"/>
      <w:szCs w:val="24"/>
      <w:lang w:eastAsia="pl-PL"/>
    </w:rPr>
  </w:style>
  <w:style w:type="paragraph" w:styleId="Style17" w:customStyle="1">
    <w:name w:val="Style17"/>
    <w:basedOn w:val="Normal"/>
    <w:uiPriority w:val="99"/>
    <w:qFormat/>
    <w:rsid w:val="008d2d78"/>
    <w:pPr>
      <w:widowControl w:val="false"/>
      <w:spacing w:lineRule="exact" w:line="240" w:before="0" w:after="0"/>
      <w:jc w:val="both"/>
    </w:pPr>
    <w:rPr>
      <w:rFonts w:ascii="Tahoma" w:hAnsi="Tahoma" w:eastAsia="" w:cs="Tahoma" w:eastAsiaTheme="minorEastAsia"/>
      <w:sz w:val="24"/>
      <w:szCs w:val="24"/>
      <w:lang w:eastAsia="pl-PL"/>
    </w:rPr>
  </w:style>
  <w:style w:type="paragraph" w:styleId="Style22" w:customStyle="1">
    <w:name w:val="Style22"/>
    <w:basedOn w:val="Normal"/>
    <w:uiPriority w:val="99"/>
    <w:qFormat/>
    <w:rsid w:val="008d2d78"/>
    <w:pPr>
      <w:widowControl w:val="false"/>
      <w:spacing w:lineRule="exact" w:line="240" w:before="0" w:after="0"/>
    </w:pPr>
    <w:rPr>
      <w:rFonts w:ascii="Tahoma" w:hAnsi="Tahoma" w:eastAsia="" w:cs="Tahoma" w:eastAsiaTheme="minorEastAsia"/>
      <w:sz w:val="24"/>
      <w:szCs w:val="24"/>
      <w:lang w:eastAsia="pl-PL"/>
    </w:rPr>
  </w:style>
  <w:style w:type="paragraph" w:styleId="Style40" w:customStyle="1">
    <w:name w:val="Style40"/>
    <w:basedOn w:val="Normal"/>
    <w:uiPriority w:val="99"/>
    <w:qFormat/>
    <w:rsid w:val="008d2d78"/>
    <w:pPr>
      <w:widowControl w:val="false"/>
      <w:spacing w:lineRule="exact" w:line="245" w:before="0" w:after="0"/>
    </w:pPr>
    <w:rPr>
      <w:rFonts w:ascii="Tahoma" w:hAnsi="Tahoma" w:eastAsia="" w:cs="Tahoma" w:eastAsiaTheme="minorEastAsia"/>
      <w:sz w:val="24"/>
      <w:szCs w:val="24"/>
      <w:lang w:eastAsia="pl-PL"/>
    </w:rPr>
  </w:style>
  <w:style w:type="paragraph" w:styleId="ListParagraph">
    <w:name w:val="List Paragraph"/>
    <w:basedOn w:val="Normal"/>
    <w:link w:val="AkapitzlistZnak"/>
    <w:uiPriority w:val="34"/>
    <w:qFormat/>
    <w:rsid w:val="008d2d78"/>
    <w:pPr>
      <w:spacing w:lineRule="auto" w:line="259" w:before="0" w:after="160"/>
      <w:ind w:left="720" w:hanging="0"/>
      <w:contextualSpacing/>
    </w:pPr>
    <w:rPr>
      <w:rFonts w:ascii="Arial" w:hAnsi="Arial" w:cs="Times New Roman"/>
      <w:color w:val="000000"/>
      <w:sz w:val="20"/>
      <w:szCs w:val="20"/>
    </w:rPr>
  </w:style>
  <w:style w:type="paragraph" w:styleId="P0" w:customStyle="1">
    <w:name w:val="p0"/>
    <w:basedOn w:val="Normal"/>
    <w:qFormat/>
    <w:rsid w:val="00cc25af"/>
    <w:pPr>
      <w:spacing w:lineRule="auto" w:line="240" w:before="0" w:after="120"/>
      <w:ind w:firstLine="454"/>
      <w:jc w:val="both"/>
    </w:pPr>
    <w:rPr>
      <w:rFonts w:ascii="Arial" w:hAnsi="Arial" w:eastAsia="Times New Roman" w:cs="Arial"/>
      <w:sz w:val="20"/>
      <w:szCs w:val="20"/>
      <w:lang w:eastAsia="pl-PL"/>
    </w:rPr>
  </w:style>
  <w:style w:type="paragraph" w:styleId="Style16" w:customStyle="1">
    <w:name w:val="Style16"/>
    <w:basedOn w:val="Normal"/>
    <w:uiPriority w:val="99"/>
    <w:qFormat/>
    <w:rsid w:val="00cc25af"/>
    <w:pPr>
      <w:widowControl w:val="false"/>
      <w:spacing w:lineRule="auto" w:line="240" w:before="0" w:after="0"/>
    </w:pPr>
    <w:rPr>
      <w:rFonts w:ascii="Tahoma" w:hAnsi="Tahoma" w:eastAsia="" w:cs="Tahoma" w:eastAsiaTheme="minorEastAsia"/>
      <w:sz w:val="24"/>
      <w:szCs w:val="24"/>
      <w:lang w:eastAsia="pl-PL"/>
    </w:rPr>
  </w:style>
  <w:style w:type="paragraph" w:styleId="Style33" w:customStyle="1">
    <w:name w:val="Style33"/>
    <w:basedOn w:val="Normal"/>
    <w:uiPriority w:val="99"/>
    <w:qFormat/>
    <w:rsid w:val="00cc25af"/>
    <w:pPr>
      <w:widowControl w:val="false"/>
      <w:spacing w:lineRule="exact" w:line="240" w:before="0" w:after="0"/>
      <w:ind w:hanging="706"/>
      <w:jc w:val="both"/>
    </w:pPr>
    <w:rPr>
      <w:rFonts w:ascii="Tahoma" w:hAnsi="Tahoma" w:eastAsia="" w:cs="Tahoma" w:eastAsiaTheme="minorEastAsia"/>
      <w:sz w:val="24"/>
      <w:szCs w:val="24"/>
      <w:lang w:eastAsia="pl-PL"/>
    </w:rPr>
  </w:style>
  <w:style w:type="paragraph" w:styleId="P1" w:customStyle="1">
    <w:name w:val="p1"/>
    <w:basedOn w:val="Normal"/>
    <w:qFormat/>
    <w:rsid w:val="00cc25af"/>
    <w:pPr>
      <w:spacing w:lineRule="auto" w:line="240" w:beforeAutospacing="1" w:afterAutospacing="1"/>
    </w:pPr>
    <w:rPr>
      <w:rFonts w:ascii="Times New Roman" w:hAnsi="Times New Roman" w:eastAsia="" w:cs="Times New Roman" w:eastAsiaTheme="minorEastAsia"/>
      <w:sz w:val="24"/>
      <w:szCs w:val="24"/>
      <w:lang w:eastAsia="pl-PL"/>
    </w:rPr>
  </w:style>
  <w:style w:type="paragraph" w:styleId="BodyText3">
    <w:name w:val="Body Text 3"/>
    <w:basedOn w:val="Normal"/>
    <w:link w:val="Tekstpodstawowy3Znak"/>
    <w:qFormat/>
    <w:rsid w:val="00192fc3"/>
    <w:pPr>
      <w:tabs>
        <w:tab w:val="left" w:pos="0" w:leader="none"/>
      </w:tabs>
      <w:spacing w:lineRule="auto" w:line="240" w:before="0" w:after="0"/>
      <w:jc w:val="both"/>
    </w:pPr>
    <w:rPr>
      <w:rFonts w:ascii="Times New Roman" w:hAnsi="Times New Roman" w:eastAsia="Times New Roman" w:cs="Times New Roman"/>
      <w:szCs w:val="20"/>
      <w:lang w:val="en-US"/>
    </w:rPr>
  </w:style>
  <w:style w:type="paragraph" w:styleId="Annotationtext">
    <w:name w:val="annotation text"/>
    <w:basedOn w:val="Normal"/>
    <w:link w:val="TekstkomentarzaZnak"/>
    <w:uiPriority w:val="99"/>
    <w:qFormat/>
    <w:rsid w:val="00192fc3"/>
    <w:pPr>
      <w:spacing w:lineRule="auto" w:line="240" w:before="0" w:after="0"/>
    </w:pPr>
    <w:rPr>
      <w:rFonts w:ascii="Times New Roman" w:hAnsi="Times New Roman" w:eastAsia="Times New Roman" w:cs="Times New Roman"/>
      <w:sz w:val="20"/>
      <w:szCs w:val="20"/>
      <w:lang w:val="en-US"/>
    </w:rPr>
  </w:style>
  <w:style w:type="paragraph" w:styleId="NoSpacing">
    <w:name w:val="No Spacing"/>
    <w:qFormat/>
    <w:pPr>
      <w:widowControl/>
      <w:bidi w:val="0"/>
      <w:spacing w:lineRule="auto" w:line="240" w:before="0" w:after="200"/>
      <w:jc w:val="left"/>
    </w:pPr>
    <w:rPr>
      <w:rFonts w:ascii="Calibri" w:hAnsi="Calibri" w:eastAsia="Calibri" w:cs=""/>
      <w:color w:val="00000A"/>
      <w:sz w:val="24"/>
      <w:szCs w:val="22"/>
      <w:lang w:val="pl-PL" w:eastAsia="en-US" w:bidi="ar-SA"/>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8d2d7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miniportal.uzp.gov.pl/" TargetMode="External"/><Relationship Id="rId4" Type="http://schemas.openxmlformats.org/officeDocument/2006/relationships/hyperlink" Target="https://miniportal.uzp.gov.pl/Instrukcja_uzytkownika_miniPortal-ePUAP.pdf" TargetMode="External"/><Relationship Id="rId5" Type="http://schemas.openxmlformats.org/officeDocument/2006/relationships/hyperlink" Target="https://miniportal.uzp.gov.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4CB2-83C7-41D5-9C09-1FDF4262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Application>LibreOffice/5.1.0.3$Windows_X86_64 LibreOffice_project/5e3e00a007d9b3b6efb6797a8b8e57b51ab1f737</Application>
  <Pages>21</Pages>
  <Words>6836</Words>
  <Characters>44907</Characters>
  <CharactersWithSpaces>51327</CharactersWithSpaces>
  <Paragraphs>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2021-05-18T10:51:00Z</dcterms:created>
  <dc:creator>Robert Narkun</dc:creator>
  <dc:description/>
  <dc:language>pl-PL</dc:language>
  <cp:lastModifiedBy/>
  <dcterms:modified xsi:type="dcterms:W3CDTF">2021-11-18T08:13:19Z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